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18" w:space="0" w:color="DDD9C3" w:themeColor="background2" w:themeShade="E6"/>
          <w:left w:val="none" w:sz="0" w:space="0" w:color="auto"/>
          <w:bottom w:val="single" w:sz="18" w:space="0" w:color="DDD9C3" w:themeColor="background2" w:themeShade="E6"/>
          <w:right w:val="none" w:sz="0" w:space="0" w:color="auto"/>
          <w:insideH w:val="single" w:sz="2" w:space="0" w:color="C4BC96" w:themeColor="background2" w:themeShade="BF"/>
          <w:insideV w:val="none" w:sz="0" w:space="0" w:color="auto"/>
        </w:tblBorders>
        <w:tblCellMar>
          <w:top w:w="29" w:type="dxa"/>
          <w:left w:w="115" w:type="dxa"/>
          <w:bottom w:w="29" w:type="dxa"/>
          <w:right w:w="115" w:type="dxa"/>
        </w:tblCellMar>
        <w:tblLook w:val="04A0" w:firstRow="1" w:lastRow="0" w:firstColumn="1" w:lastColumn="0" w:noHBand="0" w:noVBand="1"/>
      </w:tblPr>
      <w:tblGrid>
        <w:gridCol w:w="1098"/>
        <w:gridCol w:w="8622"/>
      </w:tblGrid>
      <w:tr w:rsidR="008218AC" w:rsidRPr="004E447E" w14:paraId="03E664BF" w14:textId="77777777" w:rsidTr="00992077">
        <w:tc>
          <w:tcPr>
            <w:tcW w:w="1098" w:type="dxa"/>
          </w:tcPr>
          <w:p w14:paraId="4D254695" w14:textId="77777777" w:rsidR="008218AC" w:rsidRPr="007671E7" w:rsidRDefault="008218AC" w:rsidP="007671E7">
            <w:pPr>
              <w:spacing w:before="60" w:after="60"/>
              <w:rPr>
                <w:rStyle w:val="IntenseEmphasisBlue"/>
                <w:color w:val="003478"/>
                <w:szCs w:val="22"/>
              </w:rPr>
            </w:pPr>
            <w:r w:rsidRPr="007671E7">
              <w:rPr>
                <w:rStyle w:val="IntenseEmphasisBlue"/>
                <w:color w:val="003478"/>
                <w:szCs w:val="22"/>
              </w:rPr>
              <w:t>To:</w:t>
            </w:r>
          </w:p>
        </w:tc>
        <w:tc>
          <w:tcPr>
            <w:tcW w:w="8622" w:type="dxa"/>
          </w:tcPr>
          <w:p w14:paraId="2A11B200" w14:textId="64761688" w:rsidR="008218AC" w:rsidRPr="007671E7" w:rsidRDefault="00594904" w:rsidP="007671E7">
            <w:pPr>
              <w:spacing w:before="60" w:after="60"/>
              <w:rPr>
                <w:szCs w:val="22"/>
              </w:rPr>
            </w:pPr>
            <w:r w:rsidRPr="007671E7">
              <w:rPr>
                <w:szCs w:val="22"/>
              </w:rPr>
              <w:t>Therese Harris, Public Utility Commission of Texas (PUCT)</w:t>
            </w:r>
            <w:r w:rsidR="00013F85">
              <w:rPr>
                <w:szCs w:val="22"/>
              </w:rPr>
              <w:t xml:space="preserve"> </w:t>
            </w:r>
          </w:p>
        </w:tc>
      </w:tr>
      <w:tr w:rsidR="008218AC" w:rsidRPr="00740639" w14:paraId="662CC2A6" w14:textId="77777777" w:rsidTr="00992077">
        <w:tc>
          <w:tcPr>
            <w:tcW w:w="1098" w:type="dxa"/>
          </w:tcPr>
          <w:p w14:paraId="38B3B673" w14:textId="77777777" w:rsidR="008218AC" w:rsidRPr="007671E7" w:rsidRDefault="008218AC" w:rsidP="007671E7">
            <w:pPr>
              <w:spacing w:before="60" w:after="60"/>
              <w:rPr>
                <w:rStyle w:val="IntenseEmphasisBlue"/>
                <w:szCs w:val="22"/>
              </w:rPr>
            </w:pPr>
            <w:r w:rsidRPr="007671E7">
              <w:rPr>
                <w:rStyle w:val="IntenseEmphasisBlue"/>
                <w:color w:val="003478"/>
                <w:szCs w:val="22"/>
              </w:rPr>
              <w:t>Cc:</w:t>
            </w:r>
          </w:p>
        </w:tc>
        <w:tc>
          <w:tcPr>
            <w:tcW w:w="8622" w:type="dxa"/>
          </w:tcPr>
          <w:p w14:paraId="616B230E" w14:textId="2860C5CD" w:rsidR="008218AC" w:rsidRPr="00013F85" w:rsidRDefault="00740639" w:rsidP="007671E7">
            <w:pPr>
              <w:spacing w:before="60" w:after="60"/>
              <w:rPr>
                <w:szCs w:val="22"/>
                <w:lang w:val="es-MX"/>
              </w:rPr>
            </w:pPr>
            <w:r>
              <w:rPr>
                <w:szCs w:val="22"/>
                <w:lang w:val="es-MX"/>
              </w:rPr>
              <w:t>Chase Lipscomb</w:t>
            </w:r>
            <w:r w:rsidR="00594904" w:rsidRPr="00013F85">
              <w:rPr>
                <w:szCs w:val="22"/>
                <w:lang w:val="es-MX"/>
              </w:rPr>
              <w:t>,</w:t>
            </w:r>
            <w:r>
              <w:rPr>
                <w:szCs w:val="22"/>
                <w:lang w:val="es-MX"/>
              </w:rPr>
              <w:t xml:space="preserve"> Tugi Gotora, James Harville,</w:t>
            </w:r>
            <w:r w:rsidR="00594904" w:rsidRPr="00013F85">
              <w:rPr>
                <w:szCs w:val="22"/>
                <w:lang w:val="es-MX"/>
              </w:rPr>
              <w:t xml:space="preserve"> PUCT</w:t>
            </w:r>
            <w:r w:rsidR="00F4023F" w:rsidRPr="00013F85">
              <w:rPr>
                <w:szCs w:val="22"/>
                <w:lang w:val="es-MX"/>
              </w:rPr>
              <w:t xml:space="preserve"> </w:t>
            </w:r>
          </w:p>
        </w:tc>
      </w:tr>
      <w:tr w:rsidR="008218AC" w:rsidRPr="004E447E" w14:paraId="24841825" w14:textId="77777777" w:rsidTr="00992077">
        <w:tc>
          <w:tcPr>
            <w:tcW w:w="1098" w:type="dxa"/>
          </w:tcPr>
          <w:p w14:paraId="5E345017" w14:textId="77777777" w:rsidR="008218AC" w:rsidRPr="007671E7" w:rsidRDefault="008218AC" w:rsidP="007671E7">
            <w:pPr>
              <w:spacing w:before="60" w:after="60"/>
              <w:rPr>
                <w:rStyle w:val="IntenseEmphasisBlue"/>
                <w:szCs w:val="22"/>
              </w:rPr>
            </w:pPr>
            <w:r w:rsidRPr="007671E7">
              <w:rPr>
                <w:rStyle w:val="IntenseEmphasisBlue"/>
                <w:color w:val="003478"/>
                <w:szCs w:val="22"/>
              </w:rPr>
              <w:t>From:</w:t>
            </w:r>
          </w:p>
        </w:tc>
        <w:tc>
          <w:tcPr>
            <w:tcW w:w="8622" w:type="dxa"/>
          </w:tcPr>
          <w:p w14:paraId="17F170E1" w14:textId="40EF9098" w:rsidR="008218AC" w:rsidRPr="007671E7" w:rsidRDefault="0026584E" w:rsidP="007671E7">
            <w:pPr>
              <w:spacing w:before="60" w:after="60"/>
              <w:rPr>
                <w:szCs w:val="22"/>
              </w:rPr>
            </w:pPr>
            <w:r w:rsidRPr="007671E7">
              <w:rPr>
                <w:szCs w:val="22"/>
              </w:rPr>
              <w:t>Lark Lee</w:t>
            </w:r>
            <w:r w:rsidR="00261F55">
              <w:rPr>
                <w:szCs w:val="22"/>
              </w:rPr>
              <w:t xml:space="preserve">, </w:t>
            </w:r>
            <w:r w:rsidR="002E75F8">
              <w:rPr>
                <w:szCs w:val="22"/>
              </w:rPr>
              <w:t xml:space="preserve">Tina Yoder and </w:t>
            </w:r>
            <w:r w:rsidR="00740639">
              <w:rPr>
                <w:szCs w:val="22"/>
              </w:rPr>
              <w:t xml:space="preserve">Sadie Bronk, </w:t>
            </w:r>
            <w:r w:rsidR="00552AF1" w:rsidRPr="007671E7">
              <w:rPr>
                <w:szCs w:val="22"/>
              </w:rPr>
              <w:t>the Evaluation Measurement &amp;</w:t>
            </w:r>
            <w:r w:rsidR="00624E78">
              <w:rPr>
                <w:szCs w:val="22"/>
              </w:rPr>
              <w:t xml:space="preserve"> </w:t>
            </w:r>
            <w:r w:rsidR="00552AF1" w:rsidRPr="007671E7">
              <w:rPr>
                <w:szCs w:val="22"/>
              </w:rPr>
              <w:t xml:space="preserve">Verification (EM&amp;V) </w:t>
            </w:r>
            <w:r w:rsidR="00740639">
              <w:rPr>
                <w:szCs w:val="22"/>
              </w:rPr>
              <w:t>team</w:t>
            </w:r>
          </w:p>
        </w:tc>
      </w:tr>
      <w:tr w:rsidR="008218AC" w:rsidRPr="004E447E" w14:paraId="3D20E35D" w14:textId="77777777" w:rsidTr="00992077">
        <w:tc>
          <w:tcPr>
            <w:tcW w:w="1098" w:type="dxa"/>
          </w:tcPr>
          <w:p w14:paraId="7A9F03F4" w14:textId="77777777" w:rsidR="008218AC" w:rsidRPr="00CA17AD" w:rsidRDefault="008218AC" w:rsidP="007671E7">
            <w:pPr>
              <w:spacing w:before="60" w:after="60"/>
              <w:rPr>
                <w:rStyle w:val="IntenseEmphasisBlue"/>
                <w:color w:val="auto"/>
                <w:szCs w:val="22"/>
              </w:rPr>
            </w:pPr>
            <w:r w:rsidRPr="00624E78">
              <w:rPr>
                <w:rStyle w:val="IntenseEmphasisBlue"/>
                <w:color w:val="003478"/>
                <w:szCs w:val="22"/>
              </w:rPr>
              <w:t>Date:</w:t>
            </w:r>
          </w:p>
        </w:tc>
        <w:tc>
          <w:tcPr>
            <w:tcW w:w="8622" w:type="dxa"/>
          </w:tcPr>
          <w:p w14:paraId="4167908A" w14:textId="2EEC92CF" w:rsidR="008218AC" w:rsidRPr="00CA17AD" w:rsidRDefault="002E75F8" w:rsidP="007671E7">
            <w:pPr>
              <w:spacing w:before="60" w:after="60"/>
              <w:rPr>
                <w:szCs w:val="22"/>
              </w:rPr>
            </w:pPr>
            <w:r>
              <w:rPr>
                <w:szCs w:val="22"/>
              </w:rPr>
              <w:t>March 2</w:t>
            </w:r>
            <w:r w:rsidR="008516B5">
              <w:rPr>
                <w:szCs w:val="22"/>
              </w:rPr>
              <w:t>7</w:t>
            </w:r>
            <w:r>
              <w:rPr>
                <w:szCs w:val="22"/>
              </w:rPr>
              <w:t>, 2023</w:t>
            </w:r>
          </w:p>
        </w:tc>
      </w:tr>
      <w:tr w:rsidR="008218AC" w:rsidRPr="004E447E" w14:paraId="54169A48" w14:textId="77777777" w:rsidTr="00992077">
        <w:tc>
          <w:tcPr>
            <w:tcW w:w="1098" w:type="dxa"/>
          </w:tcPr>
          <w:p w14:paraId="31BF2979" w14:textId="77777777" w:rsidR="008218AC" w:rsidRPr="007671E7" w:rsidRDefault="008218AC" w:rsidP="007671E7">
            <w:pPr>
              <w:spacing w:before="60" w:after="60"/>
              <w:rPr>
                <w:rStyle w:val="IntenseEmphasisBlue"/>
                <w:szCs w:val="22"/>
              </w:rPr>
            </w:pPr>
            <w:r w:rsidRPr="007671E7">
              <w:rPr>
                <w:rStyle w:val="IntenseEmphasisBlue"/>
                <w:color w:val="003478"/>
                <w:szCs w:val="22"/>
              </w:rPr>
              <w:t>Subject:</w:t>
            </w:r>
          </w:p>
        </w:tc>
        <w:tc>
          <w:tcPr>
            <w:tcW w:w="8622" w:type="dxa"/>
          </w:tcPr>
          <w:p w14:paraId="0DA6D3C3" w14:textId="1A6488CB" w:rsidR="008218AC" w:rsidRPr="007671E7" w:rsidRDefault="00DC2BB7" w:rsidP="007671E7">
            <w:pPr>
              <w:spacing w:before="60" w:after="60"/>
              <w:rPr>
                <w:szCs w:val="22"/>
              </w:rPr>
            </w:pPr>
            <w:r>
              <w:rPr>
                <w:szCs w:val="22"/>
              </w:rPr>
              <w:t xml:space="preserve">Energy Efficiency </w:t>
            </w:r>
            <w:r w:rsidR="00740639">
              <w:rPr>
                <w:szCs w:val="22"/>
              </w:rPr>
              <w:t xml:space="preserve">Stakeholder </w:t>
            </w:r>
            <w:r w:rsidR="002E75F8">
              <w:rPr>
                <w:szCs w:val="22"/>
              </w:rPr>
              <w:t>Working Groups Progress Update</w:t>
            </w:r>
          </w:p>
        </w:tc>
      </w:tr>
    </w:tbl>
    <w:p w14:paraId="3DB36B4B" w14:textId="08981B3E" w:rsidR="002E75F8" w:rsidRDefault="002E75F8" w:rsidP="002E75F8">
      <w:pPr>
        <w:rPr>
          <w:szCs w:val="22"/>
        </w:rPr>
      </w:pPr>
      <w:r>
        <w:rPr>
          <w:szCs w:val="22"/>
        </w:rPr>
        <w:t xml:space="preserve">This progress update outlines the best practices, overarching themes and key priorities that emerged during the Energy Efficiency Stakeholder Working Groups that the EM&amp;V team facilitated on behalf of the PUCT covering the following primary topics: </w:t>
      </w:r>
      <w:r w:rsidR="001550AA">
        <w:rPr>
          <w:szCs w:val="22"/>
        </w:rPr>
        <w:br/>
      </w:r>
    </w:p>
    <w:p w14:paraId="2727E321" w14:textId="77777777" w:rsidR="002E75F8" w:rsidRDefault="002E75F8" w:rsidP="002E75F8">
      <w:pPr>
        <w:pStyle w:val="NumberedList"/>
      </w:pPr>
      <w:r>
        <w:t>Program Goals</w:t>
      </w:r>
    </w:p>
    <w:p w14:paraId="40413C62" w14:textId="77777777" w:rsidR="002E75F8" w:rsidRDefault="002E75F8" w:rsidP="002E75F8">
      <w:pPr>
        <w:pStyle w:val="NumberedList"/>
      </w:pPr>
      <w:r>
        <w:t>Low Income and Underserved Segments</w:t>
      </w:r>
    </w:p>
    <w:p w14:paraId="21B65BD0" w14:textId="381F6F4D" w:rsidR="002E75F8" w:rsidRDefault="002E75F8" w:rsidP="002E75F8">
      <w:pPr>
        <w:pStyle w:val="NumberedList"/>
      </w:pPr>
      <w:r>
        <w:t>Demand Response</w:t>
      </w:r>
      <w:r w:rsidR="00086668">
        <w:t>/Load Management</w:t>
      </w:r>
    </w:p>
    <w:p w14:paraId="6BECF6BA" w14:textId="77777777" w:rsidR="002E75F8" w:rsidRDefault="002E75F8" w:rsidP="002E75F8">
      <w:pPr>
        <w:pStyle w:val="NumberedList"/>
      </w:pPr>
      <w:r>
        <w:t>Energy Efficiency Program Planning</w:t>
      </w:r>
    </w:p>
    <w:p w14:paraId="7CC2384D" w14:textId="77777777" w:rsidR="002E75F8" w:rsidRDefault="002E75F8" w:rsidP="002E75F8">
      <w:pPr>
        <w:spacing w:line="256" w:lineRule="auto"/>
        <w:rPr>
          <w:szCs w:val="22"/>
        </w:rPr>
      </w:pPr>
      <w:r>
        <w:rPr>
          <w:szCs w:val="22"/>
        </w:rPr>
        <w:t>The intent of the working groups was to organize stakeholder input for broader Energy Efficiency Implementation Project (EEIP) discussion. The outcomes of these discussions may be considered in a future energy efficiency rulemaking.</w:t>
      </w:r>
    </w:p>
    <w:p w14:paraId="41F6D031" w14:textId="249EE5F8" w:rsidR="002E75F8" w:rsidRDefault="002E75F8" w:rsidP="002E75F8">
      <w:pPr>
        <w:spacing w:line="256" w:lineRule="auto"/>
        <w:rPr>
          <w:szCs w:val="22"/>
        </w:rPr>
      </w:pPr>
      <w:r>
        <w:rPr>
          <w:szCs w:val="22"/>
        </w:rPr>
        <w:t xml:space="preserve">The primary source of the outlined priorities, best practices and themes came from stakeholder feedback during working group sessions. The EM&amp;V team recorded all working groups, reviewed submitted materials from workshop attendees, carefully documented ideas shared and synthesized key issues identified by each working group. </w:t>
      </w:r>
    </w:p>
    <w:p w14:paraId="3745CE60" w14:textId="26F9637B" w:rsidR="00DD6780" w:rsidRPr="00DD6780" w:rsidRDefault="00DD6780" w:rsidP="00DC2BB7">
      <w:pPr>
        <w:pStyle w:val="Heading1"/>
      </w:pPr>
      <w:r>
        <w:t>Background</w:t>
      </w:r>
    </w:p>
    <w:p w14:paraId="52BCA4E6" w14:textId="68ECA50C" w:rsidR="002E75F8" w:rsidRDefault="002E75F8" w:rsidP="002E75F8">
      <w:r>
        <w:t xml:space="preserve">The figure below provides the timeline of Stakeholder Input activities that have occurred from October 2022 through March 2023.  </w:t>
      </w:r>
    </w:p>
    <w:p w14:paraId="4D0EC1CD" w14:textId="4A2DAF16" w:rsidR="002E75F8" w:rsidRDefault="002E75F8" w:rsidP="002E75F8"/>
    <w:p w14:paraId="55A2C21F" w14:textId="5FFE0503" w:rsidR="002E75F8" w:rsidRDefault="002E75F8" w:rsidP="002E75F8"/>
    <w:p w14:paraId="2F13378E" w14:textId="0F4718E8" w:rsidR="002E75F8" w:rsidRDefault="002E75F8" w:rsidP="002E75F8"/>
    <w:p w14:paraId="35933959" w14:textId="6C0BE698" w:rsidR="002E75F8" w:rsidRDefault="002E75F8" w:rsidP="002E75F8"/>
    <w:p w14:paraId="1F9A3834" w14:textId="7A6AD46A" w:rsidR="002E75F8" w:rsidRDefault="002E75F8" w:rsidP="002E75F8"/>
    <w:p w14:paraId="6F63E92E" w14:textId="77777777" w:rsidR="002E75F8" w:rsidRDefault="002E75F8" w:rsidP="002E75F8">
      <w:pPr>
        <w:rPr>
          <w:rFonts w:cs="Times New Roman"/>
        </w:rPr>
      </w:pPr>
    </w:p>
    <w:p w14:paraId="2A0EEEE9" w14:textId="608A26F6" w:rsidR="002E75F8" w:rsidRDefault="002E75F8" w:rsidP="002E75F8">
      <w:pPr>
        <w:rPr>
          <w:b/>
          <w:bCs/>
          <w:sz w:val="20"/>
          <w:szCs w:val="22"/>
        </w:rPr>
      </w:pPr>
      <w:r>
        <w:rPr>
          <w:b/>
          <w:bCs/>
          <w:sz w:val="20"/>
          <w:szCs w:val="22"/>
        </w:rPr>
        <w:t>Figure 1 Stakeholder Input Activities to Date</w:t>
      </w:r>
      <w:r>
        <w:rPr>
          <w:rStyle w:val="FootnoteReference"/>
          <w:b/>
          <w:bCs/>
          <w:sz w:val="20"/>
          <w:szCs w:val="22"/>
        </w:rPr>
        <w:footnoteReference w:id="2"/>
      </w:r>
    </w:p>
    <w:p w14:paraId="19F034F1" w14:textId="1D47698A" w:rsidR="002E75F8" w:rsidRDefault="002E75F8" w:rsidP="002E75F8">
      <w:pPr>
        <w:rPr>
          <w:b/>
          <w:bCs/>
          <w:szCs w:val="24"/>
        </w:rPr>
      </w:pPr>
      <w:r>
        <w:rPr>
          <w:noProof/>
        </w:rPr>
        <w:drawing>
          <wp:inline distT="0" distB="0" distL="0" distR="0" wp14:anchorId="4D6264AA" wp14:editId="6882BA02">
            <wp:extent cx="6286500" cy="3441700"/>
            <wp:effectExtent l="38100" t="19050" r="19050" b="2540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114CC4EC" w14:textId="4626FEEB" w:rsidR="00DD6780" w:rsidRPr="00DD6780" w:rsidRDefault="00414455" w:rsidP="00DC2BB7">
      <w:pPr>
        <w:pStyle w:val="Heading1"/>
      </w:pPr>
      <w:r>
        <w:t>W</w:t>
      </w:r>
      <w:r w:rsidR="002E75F8">
        <w:t xml:space="preserve">orking </w:t>
      </w:r>
      <w:r>
        <w:t>G</w:t>
      </w:r>
      <w:r w:rsidR="002E75F8">
        <w:t xml:space="preserve">roup </w:t>
      </w:r>
      <w:r>
        <w:t>O</w:t>
      </w:r>
      <w:r w:rsidR="008F146C">
        <w:t>verview</w:t>
      </w:r>
      <w:r w:rsidR="0085678A">
        <w:t xml:space="preserve"> </w:t>
      </w:r>
    </w:p>
    <w:p w14:paraId="75EC2086" w14:textId="29A63EE1" w:rsidR="002E75F8" w:rsidRDefault="002E75F8" w:rsidP="002E75F8">
      <w:r>
        <w:t>The workshop objectives were to identify salient issues for investor-owned utility (IOU) energy efficiency programs and organize stakeholder feedback for the Commission’s consideration in a future rulemaking. The EM&amp;V team served as facilitators keeping discussions on track, on time and enabling active dialogue and listening to understand, capture and document different viewpoints of energy efficiency in Texas.</w:t>
      </w:r>
    </w:p>
    <w:p w14:paraId="7EA8A538" w14:textId="77777777" w:rsidR="002E75F8" w:rsidRDefault="002E75F8" w:rsidP="002E75F8">
      <w:r>
        <w:t>As facilitators the EM&amp;V team had three primary outcomes in mind:</w:t>
      </w:r>
    </w:p>
    <w:p w14:paraId="26D74EF4" w14:textId="77777777" w:rsidR="002E75F8" w:rsidRDefault="002E75F8" w:rsidP="002E75F8">
      <w:pPr>
        <w:pStyle w:val="ListBullet"/>
      </w:pPr>
      <w:r>
        <w:t>Capture and organize stakeholder feedback to be shared at the March EEIP meeting for full group input.</w:t>
      </w:r>
    </w:p>
    <w:p w14:paraId="2CFCB8FD" w14:textId="77777777" w:rsidR="002E75F8" w:rsidRDefault="002E75F8" w:rsidP="002E75F8">
      <w:pPr>
        <w:pStyle w:val="ListBullet"/>
      </w:pPr>
      <w:r>
        <w:t>Prioritize issues, identifying areas of debate and agreement.</w:t>
      </w:r>
    </w:p>
    <w:p w14:paraId="76518D49" w14:textId="5B4D1FEF" w:rsidR="002E75F8" w:rsidRDefault="002E75F8" w:rsidP="002E75F8">
      <w:pPr>
        <w:pStyle w:val="ListBullet"/>
      </w:pPr>
      <w:r>
        <w:t xml:space="preserve">Identify changes if any to </w:t>
      </w:r>
      <w:r w:rsidR="00C70CF8">
        <w:t xml:space="preserve">legislation, </w:t>
      </w:r>
      <w:r w:rsidR="00D45C43">
        <w:t>energy efficiency rules</w:t>
      </w:r>
      <w:r>
        <w:t xml:space="preserve"> and/or other processes.</w:t>
      </w:r>
    </w:p>
    <w:p w14:paraId="5AAD9141" w14:textId="351EB902" w:rsidR="008F146C" w:rsidRPr="00F607F0" w:rsidRDefault="002E75F8" w:rsidP="00DC2BB7">
      <w:pPr>
        <w:pStyle w:val="Heading1"/>
        <w:rPr>
          <w:rFonts w:eastAsia="Arial"/>
        </w:rPr>
      </w:pPr>
      <w:r>
        <w:t xml:space="preserve">Best Practices </w:t>
      </w:r>
      <w:r w:rsidR="00875C4A" w:rsidRPr="00614692">
        <w:t xml:space="preserve"> </w:t>
      </w:r>
      <w:r w:rsidR="008F146C">
        <w:rPr>
          <w:rFonts w:eastAsia="Arial"/>
        </w:rPr>
        <w:t xml:space="preserve"> </w:t>
      </w:r>
    </w:p>
    <w:p w14:paraId="54405EC8" w14:textId="77777777" w:rsidR="001550AA" w:rsidRDefault="002E75F8" w:rsidP="002E75F8">
      <w:r>
        <w:t xml:space="preserve">Although the main objective of the four working groups was not to obtain consensus on recommendations, it became clear it was an opportunity to capture best practices from stakeholder input who work </w:t>
      </w:r>
      <w:r w:rsidR="00086668">
        <w:t xml:space="preserve">both in Texas and </w:t>
      </w:r>
      <w:r>
        <w:t xml:space="preserve">nation-wide </w:t>
      </w:r>
      <w:r w:rsidR="00086668">
        <w:t>to provide</w:t>
      </w:r>
      <w:r>
        <w:t xml:space="preserve"> a broad perspective on best practices</w:t>
      </w:r>
      <w:r w:rsidR="00086668">
        <w:t xml:space="preserve"> that can serve as guiding principles for future programs</w:t>
      </w:r>
      <w:r>
        <w:t xml:space="preserve">. The best practices emerged </w:t>
      </w:r>
      <w:r w:rsidR="00086668">
        <w:t>first</w:t>
      </w:r>
      <w:r>
        <w:t xml:space="preserve"> in the Demand Response working group and </w:t>
      </w:r>
      <w:r w:rsidR="00086668">
        <w:t xml:space="preserve">then </w:t>
      </w:r>
      <w:r>
        <w:t xml:space="preserve">were shared </w:t>
      </w:r>
      <w:r w:rsidR="00086668">
        <w:t xml:space="preserve">and refined across </w:t>
      </w:r>
      <w:r>
        <w:t>all working groups.</w:t>
      </w:r>
      <w:r w:rsidR="001550AA">
        <w:t xml:space="preserve"> </w:t>
      </w:r>
    </w:p>
    <w:p w14:paraId="63BA3968" w14:textId="552E7FB3" w:rsidR="002E75F8" w:rsidRDefault="001550AA" w:rsidP="002E75F8">
      <w:pPr>
        <w:rPr>
          <w:rFonts w:cs="Times New Roman"/>
        </w:rPr>
      </w:pPr>
      <w:r>
        <w:t xml:space="preserve">It is also important to note differences in best practices across utility service territories. </w:t>
      </w:r>
      <w:r w:rsidRPr="001550AA">
        <w:t xml:space="preserve">In areas of Texas open to retail electric competition, Transmission and Distribution Utilities (TDUs) provide electric delivery service, but customers buy their electricity from the retail electric provider (REP) of their choice.  </w:t>
      </w:r>
      <w:r>
        <w:t xml:space="preserve">These TDUs are commonly referred to as “ERCOT utilities.” </w:t>
      </w:r>
      <w:r w:rsidRPr="001550AA">
        <w:t xml:space="preserve">In areas of the state that are not open to retail competition, vertically integrated utilities handle these functions. </w:t>
      </w:r>
      <w:r>
        <w:t xml:space="preserve">These </w:t>
      </w:r>
      <w:r w:rsidR="00F25ECD">
        <w:t>investor-owned utilities (IOUs)</w:t>
      </w:r>
      <w:r>
        <w:t xml:space="preserve"> are commonly referred to as “non-ERCOT utilities.” </w:t>
      </w:r>
      <w:r w:rsidRPr="001550AA">
        <w:t>Consequently, energy efficiency programs may need to be designed differently for competitive and non-competitive areas.</w:t>
      </w:r>
    </w:p>
    <w:p w14:paraId="25796FFE" w14:textId="0A70C8FB" w:rsidR="00086668" w:rsidRPr="00086668" w:rsidRDefault="002E75F8" w:rsidP="00086668">
      <w:pPr>
        <w:pStyle w:val="paragraph"/>
        <w:spacing w:line="256" w:lineRule="auto"/>
        <w:rPr>
          <w:rFonts w:ascii="Arial" w:hAnsi="Arial" w:cs="Arial"/>
          <w:color w:val="1F497D" w:themeColor="text2"/>
        </w:rPr>
      </w:pPr>
      <w:r>
        <w:rPr>
          <w:rStyle w:val="normaltextrun"/>
          <w:rFonts w:ascii="Arial" w:hAnsi="Arial" w:cs="Arial"/>
          <w:b/>
          <w:bCs/>
          <w:color w:val="1F497D" w:themeColor="text2"/>
          <w:sz w:val="22"/>
          <w:szCs w:val="22"/>
        </w:rPr>
        <w:t xml:space="preserve">Best Practice #1: </w:t>
      </w:r>
      <w:r w:rsidR="00086668" w:rsidRPr="00086668">
        <w:rPr>
          <w:rFonts w:ascii="Arial" w:hAnsi="Arial" w:cs="Arial"/>
          <w:color w:val="1F497D" w:themeColor="text2"/>
        </w:rPr>
        <w:t>Focus on the customer by providing tangible value (energy savings, demand reductions, increased affordability and resiliency) with multiple options to participate for a “Big tent” approach to meet the customer where they are</w:t>
      </w:r>
    </w:p>
    <w:p w14:paraId="36D424D9" w14:textId="69C6A0DF" w:rsidR="002E75F8" w:rsidRDefault="00086668" w:rsidP="001550AA">
      <w:pPr>
        <w:pStyle w:val="paragraph"/>
        <w:numPr>
          <w:ilvl w:val="0"/>
          <w:numId w:val="17"/>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Easy to understand and participate</w:t>
      </w:r>
      <w:r w:rsidR="002E75F8">
        <w:rPr>
          <w:rStyle w:val="normaltextrun"/>
          <w:rFonts w:ascii="Arial" w:hAnsi="Arial" w:cs="Arial"/>
          <w:sz w:val="22"/>
          <w:szCs w:val="22"/>
        </w:rPr>
        <w:t xml:space="preserve"> program designs</w:t>
      </w:r>
    </w:p>
    <w:p w14:paraId="0396571A" w14:textId="5CE97B9F" w:rsidR="002E75F8" w:rsidRDefault="002E75F8" w:rsidP="001550AA">
      <w:pPr>
        <w:pStyle w:val="paragraph"/>
        <w:numPr>
          <w:ilvl w:val="0"/>
          <w:numId w:val="17"/>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Coordinat</w:t>
      </w:r>
      <w:r w:rsidR="00086668">
        <w:rPr>
          <w:rStyle w:val="normaltextrun"/>
          <w:rFonts w:ascii="Arial" w:hAnsi="Arial" w:cs="Arial"/>
          <w:sz w:val="22"/>
          <w:szCs w:val="22"/>
        </w:rPr>
        <w:t xml:space="preserve">e across multiple market actors to reach customers  </w:t>
      </w:r>
    </w:p>
    <w:p w14:paraId="399831C0" w14:textId="77777777" w:rsidR="002E75F8" w:rsidRDefault="002E75F8" w:rsidP="001550AA">
      <w:pPr>
        <w:pStyle w:val="paragraph"/>
        <w:numPr>
          <w:ilvl w:val="0"/>
          <w:numId w:val="17"/>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Offering multiple technologies/measures as options</w:t>
      </w:r>
    </w:p>
    <w:p w14:paraId="1EB95A29" w14:textId="77777777" w:rsidR="002E75F8" w:rsidRDefault="002E75F8" w:rsidP="002E75F8">
      <w:pPr>
        <w:pStyle w:val="paragraph"/>
        <w:spacing w:before="0" w:beforeAutospacing="0" w:after="0" w:afterAutospacing="0" w:line="256" w:lineRule="auto"/>
        <w:rPr>
          <w:rStyle w:val="normaltextrun"/>
          <w:rFonts w:ascii="Arial" w:hAnsi="Arial" w:cs="Arial"/>
          <w:color w:val="1F497D" w:themeColor="text2"/>
          <w:sz w:val="22"/>
          <w:szCs w:val="22"/>
        </w:rPr>
      </w:pPr>
    </w:p>
    <w:p w14:paraId="47C48E57" w14:textId="65169AD1" w:rsidR="002E75F8" w:rsidRDefault="002E75F8" w:rsidP="002E75F8">
      <w:pPr>
        <w:pStyle w:val="paragraph"/>
        <w:spacing w:before="0" w:beforeAutospacing="0" w:after="0" w:afterAutospacing="0" w:line="256" w:lineRule="auto"/>
        <w:rPr>
          <w:rStyle w:val="normaltextrun"/>
          <w:rFonts w:ascii="Arial" w:hAnsi="Arial" w:cs="Arial"/>
          <w:color w:val="1F497D" w:themeColor="text2"/>
          <w:sz w:val="22"/>
          <w:szCs w:val="22"/>
        </w:rPr>
      </w:pPr>
      <w:r>
        <w:rPr>
          <w:rStyle w:val="normaltextrun"/>
          <w:rFonts w:ascii="Arial" w:hAnsi="Arial" w:cs="Arial"/>
          <w:b/>
          <w:bCs/>
          <w:color w:val="1F497D" w:themeColor="text2"/>
          <w:sz w:val="22"/>
          <w:szCs w:val="22"/>
        </w:rPr>
        <w:t xml:space="preserve">Best Practice #2: </w:t>
      </w:r>
      <w:r>
        <w:rPr>
          <w:rStyle w:val="normaltextrun"/>
          <w:rFonts w:ascii="Arial" w:hAnsi="Arial" w:cs="Arial"/>
          <w:color w:val="1F497D" w:themeColor="text2"/>
          <w:sz w:val="22"/>
          <w:szCs w:val="22"/>
        </w:rPr>
        <w:t>Integrate E</w:t>
      </w:r>
      <w:r w:rsidR="00086668">
        <w:rPr>
          <w:rStyle w:val="normaltextrun"/>
          <w:rFonts w:ascii="Arial" w:hAnsi="Arial" w:cs="Arial"/>
          <w:color w:val="1F497D" w:themeColor="text2"/>
          <w:sz w:val="22"/>
          <w:szCs w:val="22"/>
        </w:rPr>
        <w:t>nergy Efficiency</w:t>
      </w:r>
      <w:r>
        <w:rPr>
          <w:rStyle w:val="normaltextrun"/>
          <w:rFonts w:ascii="Arial" w:hAnsi="Arial" w:cs="Arial"/>
          <w:color w:val="1F497D" w:themeColor="text2"/>
          <w:sz w:val="22"/>
          <w:szCs w:val="22"/>
        </w:rPr>
        <w:t xml:space="preserve"> and D</w:t>
      </w:r>
      <w:r w:rsidR="00086668">
        <w:rPr>
          <w:rStyle w:val="normaltextrun"/>
          <w:rFonts w:ascii="Arial" w:hAnsi="Arial" w:cs="Arial"/>
          <w:color w:val="1F497D" w:themeColor="text2"/>
          <w:sz w:val="22"/>
          <w:szCs w:val="22"/>
        </w:rPr>
        <w:t xml:space="preserve">emand </w:t>
      </w:r>
      <w:r>
        <w:rPr>
          <w:rStyle w:val="normaltextrun"/>
          <w:rFonts w:ascii="Arial" w:hAnsi="Arial" w:cs="Arial"/>
          <w:color w:val="1F497D" w:themeColor="text2"/>
          <w:sz w:val="22"/>
          <w:szCs w:val="22"/>
        </w:rPr>
        <w:t>R</w:t>
      </w:r>
      <w:r w:rsidR="00086668">
        <w:rPr>
          <w:rStyle w:val="normaltextrun"/>
          <w:rFonts w:ascii="Arial" w:hAnsi="Arial" w:cs="Arial"/>
          <w:color w:val="1F497D" w:themeColor="text2"/>
          <w:sz w:val="22"/>
          <w:szCs w:val="22"/>
        </w:rPr>
        <w:t>esponse</w:t>
      </w:r>
      <w:r>
        <w:rPr>
          <w:rStyle w:val="normaltextrun"/>
          <w:rFonts w:ascii="Arial" w:hAnsi="Arial" w:cs="Arial"/>
          <w:color w:val="1F497D" w:themeColor="text2"/>
          <w:sz w:val="22"/>
          <w:szCs w:val="22"/>
        </w:rPr>
        <w:t xml:space="preserve"> when feasible.</w:t>
      </w:r>
    </w:p>
    <w:p w14:paraId="5A958954" w14:textId="77777777" w:rsidR="002E75F8" w:rsidRDefault="002E75F8" w:rsidP="002E75F8">
      <w:pPr>
        <w:pStyle w:val="paragraph"/>
        <w:spacing w:before="0" w:beforeAutospacing="0" w:after="0" w:afterAutospacing="0" w:line="256" w:lineRule="auto"/>
        <w:rPr>
          <w:rStyle w:val="normaltextrun"/>
          <w:rFonts w:ascii="Arial" w:hAnsi="Arial" w:cs="Arial"/>
          <w:color w:val="1F497D" w:themeColor="text2"/>
          <w:sz w:val="22"/>
          <w:szCs w:val="22"/>
        </w:rPr>
      </w:pPr>
    </w:p>
    <w:p w14:paraId="35C240AB" w14:textId="50B28F55" w:rsidR="002E75F8" w:rsidRDefault="002E75F8" w:rsidP="001550AA">
      <w:pPr>
        <w:pStyle w:val="paragraph"/>
        <w:numPr>
          <w:ilvl w:val="0"/>
          <w:numId w:val="18"/>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 xml:space="preserve">Capturing the value of </w:t>
      </w:r>
      <w:r w:rsidR="00086668">
        <w:rPr>
          <w:rStyle w:val="normaltextrun"/>
          <w:rFonts w:ascii="Arial" w:hAnsi="Arial" w:cs="Arial"/>
          <w:sz w:val="22"/>
          <w:szCs w:val="22"/>
        </w:rPr>
        <w:t>demand response</w:t>
      </w:r>
      <w:r>
        <w:rPr>
          <w:rStyle w:val="normaltextrun"/>
          <w:rFonts w:ascii="Arial" w:hAnsi="Arial" w:cs="Arial"/>
          <w:sz w:val="22"/>
          <w:szCs w:val="22"/>
        </w:rPr>
        <w:t xml:space="preserve"> and</w:t>
      </w:r>
      <w:r w:rsidR="00086668">
        <w:rPr>
          <w:rStyle w:val="normaltextrun"/>
          <w:rFonts w:ascii="Arial" w:hAnsi="Arial" w:cs="Arial"/>
          <w:sz w:val="22"/>
          <w:szCs w:val="22"/>
        </w:rPr>
        <w:t xml:space="preserve"> energy efficiency</w:t>
      </w:r>
      <w:r>
        <w:rPr>
          <w:rStyle w:val="normaltextrun"/>
          <w:rFonts w:ascii="Arial" w:hAnsi="Arial" w:cs="Arial"/>
          <w:sz w:val="22"/>
          <w:szCs w:val="22"/>
        </w:rPr>
        <w:t xml:space="preserve"> together is good for </w:t>
      </w:r>
      <w:r w:rsidR="00086668">
        <w:rPr>
          <w:rStyle w:val="normaltextrun"/>
          <w:rFonts w:ascii="Arial" w:hAnsi="Arial" w:cs="Arial"/>
          <w:sz w:val="22"/>
          <w:szCs w:val="22"/>
        </w:rPr>
        <w:t xml:space="preserve">customers and the grid. </w:t>
      </w:r>
    </w:p>
    <w:p w14:paraId="7837C233" w14:textId="6D31921C" w:rsidR="002E75F8" w:rsidRDefault="002E75F8" w:rsidP="001550AA">
      <w:pPr>
        <w:pStyle w:val="paragraph"/>
        <w:numPr>
          <w:ilvl w:val="0"/>
          <w:numId w:val="18"/>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For Residential customers</w:t>
      </w:r>
      <w:r w:rsidR="00086668">
        <w:rPr>
          <w:rStyle w:val="normaltextrun"/>
          <w:rFonts w:ascii="Arial" w:hAnsi="Arial" w:cs="Arial"/>
          <w:sz w:val="22"/>
          <w:szCs w:val="22"/>
        </w:rPr>
        <w:t>,</w:t>
      </w:r>
      <w:r>
        <w:rPr>
          <w:rStyle w:val="normaltextrun"/>
          <w:rFonts w:ascii="Arial" w:hAnsi="Arial" w:cs="Arial"/>
          <w:sz w:val="22"/>
          <w:szCs w:val="22"/>
        </w:rPr>
        <w:t xml:space="preserve"> understanding the readiness of the home is important.</w:t>
      </w:r>
    </w:p>
    <w:p w14:paraId="0E2215D1" w14:textId="21BF1B09" w:rsidR="002E75F8" w:rsidRDefault="002E75F8" w:rsidP="001550AA">
      <w:pPr>
        <w:pStyle w:val="paragraph"/>
        <w:numPr>
          <w:ilvl w:val="0"/>
          <w:numId w:val="18"/>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For Commercial customers</w:t>
      </w:r>
      <w:r w:rsidR="00086668">
        <w:rPr>
          <w:rStyle w:val="normaltextrun"/>
          <w:rFonts w:ascii="Arial" w:hAnsi="Arial" w:cs="Arial"/>
          <w:sz w:val="22"/>
          <w:szCs w:val="22"/>
        </w:rPr>
        <w:t>,</w:t>
      </w:r>
      <w:r>
        <w:rPr>
          <w:rStyle w:val="normaltextrun"/>
          <w:rFonts w:ascii="Arial" w:hAnsi="Arial" w:cs="Arial"/>
          <w:sz w:val="22"/>
          <w:szCs w:val="22"/>
        </w:rPr>
        <w:t xml:space="preserve"> offering choices that consider their risk/reward tolerance.</w:t>
      </w:r>
    </w:p>
    <w:p w14:paraId="3EA76DAE" w14:textId="2AB7AAD8" w:rsidR="00086668" w:rsidRPr="00086668" w:rsidRDefault="002E75F8" w:rsidP="00086668">
      <w:pPr>
        <w:pStyle w:val="paragraph"/>
        <w:spacing w:line="256" w:lineRule="auto"/>
        <w:rPr>
          <w:rFonts w:ascii="Arial" w:hAnsi="Arial" w:cs="Arial"/>
          <w:color w:val="1F497D" w:themeColor="text2"/>
        </w:rPr>
      </w:pPr>
      <w:r>
        <w:rPr>
          <w:rStyle w:val="normaltextrun"/>
          <w:rFonts w:ascii="Arial" w:hAnsi="Arial" w:cs="Arial"/>
          <w:b/>
          <w:bCs/>
          <w:color w:val="1F497D" w:themeColor="text2"/>
          <w:sz w:val="22"/>
          <w:szCs w:val="22"/>
        </w:rPr>
        <w:t xml:space="preserve">Best Practice #3: </w:t>
      </w:r>
      <w:r w:rsidR="00086668" w:rsidRPr="00086668">
        <w:rPr>
          <w:rFonts w:ascii="Arial" w:hAnsi="Arial" w:cs="Arial"/>
          <w:color w:val="1F497D" w:themeColor="text2"/>
        </w:rPr>
        <w:t xml:space="preserve">Complements other offerings (i.e., ERCOT </w:t>
      </w:r>
      <w:r w:rsidR="00D774DD">
        <w:rPr>
          <w:rFonts w:ascii="Arial" w:hAnsi="Arial" w:cs="Arial"/>
          <w:color w:val="1F497D" w:themeColor="text2"/>
        </w:rPr>
        <w:t>programs</w:t>
      </w:r>
      <w:r w:rsidR="00086668" w:rsidRPr="00086668">
        <w:rPr>
          <w:rFonts w:ascii="Arial" w:hAnsi="Arial" w:cs="Arial"/>
          <w:color w:val="1F497D" w:themeColor="text2"/>
        </w:rPr>
        <w:t>) and coordinates with other market actors (i.e., REPs, service providers)and data sources (i.e., Texas Department of Housing and Community Affairs)</w:t>
      </w:r>
    </w:p>
    <w:p w14:paraId="38178221" w14:textId="64246B19" w:rsidR="002E75F8" w:rsidRDefault="002E75F8" w:rsidP="001550AA">
      <w:pPr>
        <w:pStyle w:val="paragraph"/>
        <w:numPr>
          <w:ilvl w:val="0"/>
          <w:numId w:val="19"/>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Coordination to bridge the gap to access data so implementors can make it simple to evaluate and be broad in the solicitation of programs.</w:t>
      </w:r>
    </w:p>
    <w:p w14:paraId="78E81004" w14:textId="19CBF8B9" w:rsidR="002E75F8" w:rsidRDefault="001550AA" w:rsidP="001550AA">
      <w:pPr>
        <w:pStyle w:val="paragraph"/>
        <w:numPr>
          <w:ilvl w:val="0"/>
          <w:numId w:val="19"/>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An example discussed is a</w:t>
      </w:r>
      <w:r w:rsidR="005442F9">
        <w:rPr>
          <w:rStyle w:val="normaltextrun"/>
          <w:rFonts w:ascii="Arial" w:hAnsi="Arial" w:cs="Arial"/>
          <w:sz w:val="22"/>
          <w:szCs w:val="22"/>
        </w:rPr>
        <w:t>n</w:t>
      </w:r>
      <w:r w:rsidR="002E75F8">
        <w:rPr>
          <w:rStyle w:val="normaltextrun"/>
          <w:rFonts w:ascii="Arial" w:hAnsi="Arial" w:cs="Arial"/>
          <w:sz w:val="22"/>
          <w:szCs w:val="22"/>
        </w:rPr>
        <w:t xml:space="preserve"> </w:t>
      </w:r>
      <w:r w:rsidR="005442F9">
        <w:rPr>
          <w:rStyle w:val="normaltextrun"/>
          <w:rFonts w:ascii="Arial" w:hAnsi="Arial" w:cs="Arial"/>
          <w:sz w:val="22"/>
          <w:szCs w:val="22"/>
        </w:rPr>
        <w:t>IOU</w:t>
      </w:r>
      <w:r w:rsidR="002E75F8">
        <w:rPr>
          <w:rStyle w:val="normaltextrun"/>
          <w:rFonts w:ascii="Arial" w:hAnsi="Arial" w:cs="Arial"/>
          <w:sz w:val="22"/>
          <w:szCs w:val="22"/>
        </w:rPr>
        <w:t xml:space="preserve"> </w:t>
      </w:r>
      <w:r>
        <w:rPr>
          <w:rStyle w:val="normaltextrun"/>
          <w:rFonts w:ascii="Arial" w:hAnsi="Arial" w:cs="Arial"/>
          <w:sz w:val="22"/>
          <w:szCs w:val="22"/>
        </w:rPr>
        <w:t>p</w:t>
      </w:r>
      <w:r w:rsidR="002E75F8">
        <w:rPr>
          <w:rStyle w:val="normaltextrun"/>
          <w:rFonts w:ascii="Arial" w:hAnsi="Arial" w:cs="Arial"/>
          <w:sz w:val="22"/>
          <w:szCs w:val="22"/>
        </w:rPr>
        <w:t>re-screen</w:t>
      </w:r>
      <w:r>
        <w:rPr>
          <w:rStyle w:val="normaltextrun"/>
          <w:rFonts w:ascii="Arial" w:hAnsi="Arial" w:cs="Arial"/>
          <w:sz w:val="22"/>
          <w:szCs w:val="22"/>
        </w:rPr>
        <w:t>ing</w:t>
      </w:r>
      <w:r w:rsidR="002E75F8">
        <w:rPr>
          <w:rStyle w:val="normaltextrun"/>
          <w:rFonts w:ascii="Arial" w:hAnsi="Arial" w:cs="Arial"/>
          <w:sz w:val="22"/>
          <w:szCs w:val="22"/>
        </w:rPr>
        <w:t xml:space="preserve"> the customer to ensure their home is smart thermostat ready through an audit or weatherization program or based on new construction.</w:t>
      </w:r>
    </w:p>
    <w:p w14:paraId="2EF0FA39" w14:textId="7A716B3C" w:rsidR="001550AA" w:rsidRPr="001550AA" w:rsidRDefault="002E75F8" w:rsidP="001550AA">
      <w:pPr>
        <w:pStyle w:val="paragraph"/>
        <w:spacing w:line="256" w:lineRule="auto"/>
        <w:rPr>
          <w:rFonts w:ascii="Arial" w:hAnsi="Arial" w:cs="Arial"/>
          <w:color w:val="1F497D" w:themeColor="text2"/>
        </w:rPr>
      </w:pPr>
      <w:r>
        <w:rPr>
          <w:rStyle w:val="normaltextrun"/>
          <w:rFonts w:ascii="Arial" w:hAnsi="Arial" w:cs="Arial"/>
          <w:b/>
          <w:bCs/>
          <w:color w:val="1F497D" w:themeColor="text2"/>
          <w:sz w:val="22"/>
          <w:szCs w:val="22"/>
        </w:rPr>
        <w:t xml:space="preserve">Best Practice #4: </w:t>
      </w:r>
      <w:r w:rsidR="001550AA" w:rsidRPr="001550AA">
        <w:rPr>
          <w:rFonts w:ascii="Arial" w:hAnsi="Arial" w:cs="Arial"/>
          <w:color w:val="1F497D" w:themeColor="text2"/>
        </w:rPr>
        <w:t>Improves grid resiliency and reliability (i.e., geotargeting</w:t>
      </w:r>
      <w:r w:rsidR="00D63AA9">
        <w:rPr>
          <w:rFonts w:ascii="Arial" w:hAnsi="Arial" w:cs="Arial"/>
          <w:color w:val="1F497D" w:themeColor="text2"/>
        </w:rPr>
        <w:t xml:space="preserve"> </w:t>
      </w:r>
      <w:r w:rsidR="00C301EA">
        <w:rPr>
          <w:rFonts w:ascii="Arial" w:hAnsi="Arial" w:cs="Arial"/>
          <w:color w:val="1F497D" w:themeColor="text2"/>
        </w:rPr>
        <w:t>(</w:t>
      </w:r>
      <w:r w:rsidR="00D63AA9">
        <w:rPr>
          <w:rFonts w:ascii="Arial" w:hAnsi="Arial" w:cs="Arial"/>
          <w:color w:val="1F497D" w:themeColor="text2"/>
        </w:rPr>
        <w:t>using location data</w:t>
      </w:r>
      <w:r w:rsidR="00C301EA">
        <w:rPr>
          <w:rFonts w:ascii="Arial" w:hAnsi="Arial" w:cs="Arial"/>
          <w:color w:val="1F497D" w:themeColor="text2"/>
        </w:rPr>
        <w:t>)</w:t>
      </w:r>
      <w:r w:rsidR="001550AA" w:rsidRPr="001550AA">
        <w:rPr>
          <w:rFonts w:ascii="Arial" w:hAnsi="Arial" w:cs="Arial"/>
          <w:color w:val="1F497D" w:themeColor="text2"/>
        </w:rPr>
        <w:t>, D</w:t>
      </w:r>
      <w:r w:rsidR="00D63AA9">
        <w:rPr>
          <w:rFonts w:ascii="Arial" w:hAnsi="Arial" w:cs="Arial"/>
          <w:color w:val="1F497D" w:themeColor="text2"/>
        </w:rPr>
        <w:t xml:space="preserve">istributed </w:t>
      </w:r>
      <w:r w:rsidR="001550AA" w:rsidRPr="001550AA">
        <w:rPr>
          <w:rFonts w:ascii="Arial" w:hAnsi="Arial" w:cs="Arial"/>
          <w:color w:val="1F497D" w:themeColor="text2"/>
        </w:rPr>
        <w:t>E</w:t>
      </w:r>
      <w:r w:rsidR="00D63AA9">
        <w:rPr>
          <w:rFonts w:ascii="Arial" w:hAnsi="Arial" w:cs="Arial"/>
          <w:color w:val="1F497D" w:themeColor="text2"/>
        </w:rPr>
        <w:t xml:space="preserve">nergy </w:t>
      </w:r>
      <w:r w:rsidR="001550AA" w:rsidRPr="001550AA">
        <w:rPr>
          <w:rFonts w:ascii="Arial" w:hAnsi="Arial" w:cs="Arial"/>
          <w:color w:val="1F497D" w:themeColor="text2"/>
        </w:rPr>
        <w:t>R</w:t>
      </w:r>
      <w:r w:rsidR="00D63AA9">
        <w:rPr>
          <w:rFonts w:ascii="Arial" w:hAnsi="Arial" w:cs="Arial"/>
          <w:color w:val="1F497D" w:themeColor="text2"/>
        </w:rPr>
        <w:t>esources</w:t>
      </w:r>
      <w:r w:rsidR="00B57740">
        <w:rPr>
          <w:rFonts w:ascii="Arial" w:hAnsi="Arial" w:cs="Arial"/>
          <w:color w:val="1F497D" w:themeColor="text2"/>
        </w:rPr>
        <w:t xml:space="preserve"> (DER)</w:t>
      </w:r>
      <w:r w:rsidR="001550AA" w:rsidRPr="001550AA">
        <w:rPr>
          <w:rFonts w:ascii="Arial" w:hAnsi="Arial" w:cs="Arial"/>
          <w:color w:val="1F497D" w:themeColor="text2"/>
        </w:rPr>
        <w:t xml:space="preserve"> integration, seasonal needs); reducing risks</w:t>
      </w:r>
    </w:p>
    <w:p w14:paraId="169B7A9D" w14:textId="378FA748" w:rsidR="002E75F8" w:rsidRDefault="004D5911" w:rsidP="001550AA">
      <w:pPr>
        <w:pStyle w:val="paragraph"/>
        <w:numPr>
          <w:ilvl w:val="0"/>
          <w:numId w:val="20"/>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w:t>
      </w:r>
      <w:r w:rsidR="001550AA" w:rsidRPr="004D5911">
        <w:rPr>
          <w:rStyle w:val="normaltextrun"/>
          <w:rFonts w:ascii="Arial" w:hAnsi="Arial" w:cs="Arial"/>
          <w:i/>
          <w:iCs/>
          <w:sz w:val="22"/>
          <w:szCs w:val="22"/>
        </w:rPr>
        <w:t>It is important to u</w:t>
      </w:r>
      <w:r w:rsidR="002E75F8" w:rsidRPr="004D5911">
        <w:rPr>
          <w:rStyle w:val="normaltextrun"/>
          <w:rFonts w:ascii="Arial" w:hAnsi="Arial" w:cs="Arial"/>
          <w:i/>
          <w:iCs/>
          <w:sz w:val="22"/>
          <w:szCs w:val="22"/>
        </w:rPr>
        <w:t>nderstand the problem we are trying to solve</w:t>
      </w:r>
      <w:r w:rsidR="002E75F8">
        <w:rPr>
          <w:rStyle w:val="normaltextrun"/>
          <w:rFonts w:ascii="Arial" w:hAnsi="Arial" w:cs="Arial"/>
          <w:sz w:val="22"/>
          <w:szCs w:val="22"/>
        </w:rPr>
        <w:t>.</w:t>
      </w:r>
      <w:r>
        <w:rPr>
          <w:rStyle w:val="normaltextrun"/>
          <w:rFonts w:ascii="Arial" w:hAnsi="Arial" w:cs="Arial"/>
          <w:sz w:val="22"/>
          <w:szCs w:val="22"/>
        </w:rPr>
        <w:t>”</w:t>
      </w:r>
      <w:r w:rsidR="002E75F8">
        <w:rPr>
          <w:rStyle w:val="normaltextrun"/>
          <w:rFonts w:ascii="Arial" w:hAnsi="Arial" w:cs="Arial"/>
          <w:sz w:val="22"/>
          <w:szCs w:val="22"/>
        </w:rPr>
        <w:t xml:space="preserve"> Historically it has been summertime afternoon system demand. </w:t>
      </w:r>
      <w:r w:rsidR="007D02AD">
        <w:rPr>
          <w:rStyle w:val="normaltextrun"/>
          <w:rFonts w:ascii="Arial" w:hAnsi="Arial" w:cs="Arial"/>
          <w:sz w:val="22"/>
          <w:szCs w:val="22"/>
        </w:rPr>
        <w:t xml:space="preserve">However, </w:t>
      </w:r>
      <w:r w:rsidR="00AE3D06">
        <w:rPr>
          <w:rStyle w:val="normaltextrun"/>
          <w:rFonts w:ascii="Arial" w:hAnsi="Arial" w:cs="Arial"/>
          <w:sz w:val="22"/>
          <w:szCs w:val="22"/>
        </w:rPr>
        <w:t>issues</w:t>
      </w:r>
      <w:r w:rsidR="002E75F8">
        <w:rPr>
          <w:rStyle w:val="normaltextrun"/>
          <w:rFonts w:ascii="Arial" w:hAnsi="Arial" w:cs="Arial"/>
          <w:sz w:val="22"/>
          <w:szCs w:val="22"/>
        </w:rPr>
        <w:t xml:space="preserve"> are changing and different for each utility service territory, whether bulk system issues, market issues or distribution level, having the flexibility of geotargeting is important.</w:t>
      </w:r>
    </w:p>
    <w:p w14:paraId="65BB9FFE" w14:textId="6A490D98" w:rsidR="002E75F8" w:rsidRDefault="002E75F8" w:rsidP="001550AA">
      <w:pPr>
        <w:pStyle w:val="paragraph"/>
        <w:numPr>
          <w:ilvl w:val="0"/>
          <w:numId w:val="20"/>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 xml:space="preserve">There is an excellent opportunity for each </w:t>
      </w:r>
      <w:r w:rsidR="00444827">
        <w:rPr>
          <w:rStyle w:val="normaltextrun"/>
          <w:rFonts w:ascii="Arial" w:hAnsi="Arial" w:cs="Arial"/>
          <w:sz w:val="22"/>
          <w:szCs w:val="22"/>
        </w:rPr>
        <w:t>IOU</w:t>
      </w:r>
      <w:r>
        <w:rPr>
          <w:rStyle w:val="normaltextrun"/>
          <w:rFonts w:ascii="Arial" w:hAnsi="Arial" w:cs="Arial"/>
          <w:sz w:val="22"/>
          <w:szCs w:val="22"/>
        </w:rPr>
        <w:t xml:space="preserve"> to study their local distribution and transmission related needs and assign a value to them.</w:t>
      </w:r>
    </w:p>
    <w:p w14:paraId="69F5ADA2" w14:textId="77777777" w:rsidR="002E75F8" w:rsidRDefault="002E75F8" w:rsidP="002E75F8">
      <w:pPr>
        <w:pStyle w:val="paragraph"/>
        <w:spacing w:before="0" w:beforeAutospacing="0" w:after="0" w:afterAutospacing="0" w:line="256" w:lineRule="auto"/>
        <w:rPr>
          <w:rStyle w:val="normaltextrun"/>
          <w:rFonts w:ascii="Arial" w:hAnsi="Arial" w:cs="Arial"/>
          <w:sz w:val="22"/>
          <w:szCs w:val="22"/>
        </w:rPr>
      </w:pPr>
    </w:p>
    <w:p w14:paraId="1113224E" w14:textId="77777777" w:rsidR="002E75F8" w:rsidRDefault="002E75F8" w:rsidP="002E75F8">
      <w:pPr>
        <w:pStyle w:val="paragraph"/>
        <w:spacing w:before="0" w:beforeAutospacing="0" w:after="0" w:afterAutospacing="0" w:line="256" w:lineRule="auto"/>
        <w:rPr>
          <w:rStyle w:val="normaltextrun"/>
          <w:rFonts w:ascii="Arial" w:hAnsi="Arial" w:cs="Arial"/>
          <w:color w:val="1F497D" w:themeColor="text2"/>
          <w:sz w:val="22"/>
          <w:szCs w:val="22"/>
        </w:rPr>
      </w:pPr>
      <w:r>
        <w:rPr>
          <w:rStyle w:val="normaltextrun"/>
          <w:rFonts w:ascii="Arial" w:hAnsi="Arial" w:cs="Arial"/>
          <w:b/>
          <w:bCs/>
          <w:color w:val="1F497D" w:themeColor="text2"/>
          <w:sz w:val="22"/>
          <w:szCs w:val="22"/>
        </w:rPr>
        <w:t>Best Practice #5:</w:t>
      </w:r>
      <w:r>
        <w:rPr>
          <w:rStyle w:val="normaltextrun"/>
          <w:rFonts w:ascii="Arial" w:hAnsi="Arial" w:cs="Arial"/>
          <w:color w:val="1F497D" w:themeColor="text2"/>
          <w:sz w:val="22"/>
          <w:szCs w:val="22"/>
        </w:rPr>
        <w:t xml:space="preserve"> Taps into potential across all eligible customer segments.</w:t>
      </w:r>
    </w:p>
    <w:p w14:paraId="2617C6E1" w14:textId="77777777" w:rsidR="002E75F8" w:rsidRDefault="002E75F8" w:rsidP="002E75F8">
      <w:pPr>
        <w:pStyle w:val="paragraph"/>
        <w:spacing w:before="0" w:beforeAutospacing="0" w:after="0" w:afterAutospacing="0" w:line="256" w:lineRule="auto"/>
        <w:rPr>
          <w:rStyle w:val="normaltextrun"/>
          <w:rFonts w:ascii="Arial" w:hAnsi="Arial" w:cs="Arial"/>
          <w:color w:val="1F497D" w:themeColor="text2"/>
          <w:sz w:val="22"/>
          <w:szCs w:val="22"/>
        </w:rPr>
      </w:pPr>
    </w:p>
    <w:p w14:paraId="79357695" w14:textId="39118959" w:rsidR="002E75F8" w:rsidRDefault="002E75F8" w:rsidP="001550AA">
      <w:pPr>
        <w:pStyle w:val="paragraph"/>
        <w:numPr>
          <w:ilvl w:val="0"/>
          <w:numId w:val="21"/>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All customers (excluding industrial opt-outs) are paying into these programs yet not all are realizing the benefits.</w:t>
      </w:r>
    </w:p>
    <w:p w14:paraId="70CEE788" w14:textId="544B51A2" w:rsidR="001550AA" w:rsidRDefault="001550AA" w:rsidP="001550AA">
      <w:pPr>
        <w:pStyle w:val="paragraph"/>
        <w:numPr>
          <w:ilvl w:val="0"/>
          <w:numId w:val="21"/>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Hard-to-reach goals should include all underserved customer segments to further encourage realizing the potential across all eligibility segments</w:t>
      </w:r>
    </w:p>
    <w:p w14:paraId="131331F6" w14:textId="77777777" w:rsidR="002E75F8" w:rsidRDefault="002E75F8" w:rsidP="002E75F8">
      <w:pPr>
        <w:pStyle w:val="paragraph"/>
        <w:spacing w:before="0" w:beforeAutospacing="0" w:after="0" w:afterAutospacing="0" w:line="256" w:lineRule="auto"/>
        <w:rPr>
          <w:rStyle w:val="normaltextrun"/>
          <w:rFonts w:ascii="Arial" w:hAnsi="Arial" w:cs="Arial"/>
          <w:color w:val="1F497D" w:themeColor="text2"/>
          <w:sz w:val="22"/>
          <w:szCs w:val="22"/>
        </w:rPr>
      </w:pPr>
    </w:p>
    <w:p w14:paraId="62705958" w14:textId="2130F1F8" w:rsidR="002E75F8" w:rsidRDefault="002E75F8" w:rsidP="002E75F8">
      <w:pPr>
        <w:pStyle w:val="paragraph"/>
        <w:spacing w:before="0" w:beforeAutospacing="0" w:after="0" w:afterAutospacing="0" w:line="256" w:lineRule="auto"/>
        <w:rPr>
          <w:rStyle w:val="normaltextrun"/>
          <w:rFonts w:ascii="Arial" w:hAnsi="Arial" w:cs="Arial"/>
          <w:color w:val="1F497D" w:themeColor="text2"/>
          <w:sz w:val="22"/>
          <w:szCs w:val="22"/>
        </w:rPr>
      </w:pPr>
      <w:r>
        <w:rPr>
          <w:rStyle w:val="normaltextrun"/>
          <w:rFonts w:ascii="Arial" w:hAnsi="Arial" w:cs="Arial"/>
          <w:b/>
          <w:bCs/>
          <w:color w:val="1F497D" w:themeColor="text2"/>
          <w:sz w:val="22"/>
          <w:szCs w:val="22"/>
        </w:rPr>
        <w:t>Best Practice #6:</w:t>
      </w:r>
      <w:r>
        <w:rPr>
          <w:rStyle w:val="normaltextrun"/>
          <w:rFonts w:ascii="Arial" w:hAnsi="Arial" w:cs="Arial"/>
          <w:color w:val="1F497D" w:themeColor="text2"/>
          <w:sz w:val="22"/>
          <w:szCs w:val="22"/>
        </w:rPr>
        <w:t xml:space="preserve"> Employs consistency with flexibility to adapt to different markets and local system needs.</w:t>
      </w:r>
    </w:p>
    <w:p w14:paraId="6DBF7BBA" w14:textId="77777777" w:rsidR="001550AA" w:rsidRDefault="001550AA" w:rsidP="002E75F8">
      <w:pPr>
        <w:pStyle w:val="paragraph"/>
        <w:spacing w:before="0" w:beforeAutospacing="0" w:after="0" w:afterAutospacing="0" w:line="256" w:lineRule="auto"/>
        <w:rPr>
          <w:rStyle w:val="normaltextrun"/>
          <w:rFonts w:ascii="Arial" w:hAnsi="Arial" w:cs="Arial"/>
          <w:color w:val="1F497D" w:themeColor="text2"/>
          <w:sz w:val="22"/>
          <w:szCs w:val="22"/>
        </w:rPr>
      </w:pPr>
    </w:p>
    <w:p w14:paraId="0ADED228" w14:textId="70320EAD" w:rsidR="001550AA" w:rsidRDefault="001550AA" w:rsidP="001550AA">
      <w:pPr>
        <w:pStyle w:val="paragraph"/>
        <w:numPr>
          <w:ilvl w:val="0"/>
          <w:numId w:val="20"/>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 xml:space="preserve">While recognizing the need to adapt to each unique utility service territory, </w:t>
      </w:r>
      <w:r w:rsidRPr="001550AA">
        <w:rPr>
          <w:rStyle w:val="normaltextrun"/>
          <w:rFonts w:ascii="Arial" w:hAnsi="Arial" w:cs="Arial"/>
          <w:sz w:val="22"/>
          <w:szCs w:val="22"/>
        </w:rPr>
        <w:t xml:space="preserve">programs </w:t>
      </w:r>
      <w:r>
        <w:rPr>
          <w:rStyle w:val="normaltextrun"/>
          <w:rFonts w:ascii="Arial" w:hAnsi="Arial" w:cs="Arial"/>
          <w:sz w:val="22"/>
          <w:szCs w:val="22"/>
        </w:rPr>
        <w:t xml:space="preserve">could </w:t>
      </w:r>
      <w:r w:rsidRPr="001550AA">
        <w:rPr>
          <w:rStyle w:val="normaltextrun"/>
          <w:rFonts w:ascii="Arial" w:hAnsi="Arial" w:cs="Arial"/>
          <w:sz w:val="22"/>
          <w:szCs w:val="22"/>
        </w:rPr>
        <w:t xml:space="preserve">run </w:t>
      </w:r>
      <w:r>
        <w:rPr>
          <w:rStyle w:val="normaltextrun"/>
          <w:rFonts w:ascii="Arial" w:hAnsi="Arial" w:cs="Arial"/>
          <w:sz w:val="22"/>
          <w:szCs w:val="22"/>
        </w:rPr>
        <w:t>more</w:t>
      </w:r>
      <w:r w:rsidRPr="001550AA">
        <w:rPr>
          <w:rStyle w:val="normaltextrun"/>
          <w:rFonts w:ascii="Arial" w:hAnsi="Arial" w:cs="Arial"/>
          <w:sz w:val="22"/>
          <w:szCs w:val="22"/>
        </w:rPr>
        <w:t xml:space="preserve"> efficiently </w:t>
      </w:r>
      <w:r>
        <w:rPr>
          <w:rStyle w:val="normaltextrun"/>
          <w:rFonts w:ascii="Arial" w:hAnsi="Arial" w:cs="Arial"/>
          <w:sz w:val="22"/>
          <w:szCs w:val="22"/>
        </w:rPr>
        <w:t xml:space="preserve">through involving relevant market actors in the program design phase and </w:t>
      </w:r>
      <w:r w:rsidRPr="001550AA">
        <w:rPr>
          <w:rStyle w:val="normaltextrun"/>
          <w:rFonts w:ascii="Arial" w:hAnsi="Arial" w:cs="Arial"/>
          <w:sz w:val="22"/>
          <w:szCs w:val="22"/>
        </w:rPr>
        <w:t>look</w:t>
      </w:r>
      <w:r>
        <w:rPr>
          <w:rStyle w:val="normaltextrun"/>
          <w:rFonts w:ascii="Arial" w:hAnsi="Arial" w:cs="Arial"/>
          <w:sz w:val="22"/>
          <w:szCs w:val="22"/>
        </w:rPr>
        <w:t>ing</w:t>
      </w:r>
      <w:r w:rsidRPr="001550AA">
        <w:rPr>
          <w:rStyle w:val="normaltextrun"/>
          <w:rFonts w:ascii="Arial" w:hAnsi="Arial" w:cs="Arial"/>
          <w:sz w:val="22"/>
          <w:szCs w:val="22"/>
        </w:rPr>
        <w:t xml:space="preserve"> at ways to run multi-year and statewide programs, to the extent possible.  </w:t>
      </w:r>
    </w:p>
    <w:p w14:paraId="6FEB2C6C" w14:textId="3E8E0D8A" w:rsidR="001550AA" w:rsidRDefault="001550AA" w:rsidP="001550AA">
      <w:pPr>
        <w:pStyle w:val="paragraph"/>
        <w:numPr>
          <w:ilvl w:val="0"/>
          <w:numId w:val="20"/>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 xml:space="preserve">There is an opportunity for each </w:t>
      </w:r>
      <w:r w:rsidR="001C2E07">
        <w:rPr>
          <w:rStyle w:val="normaltextrun"/>
          <w:rFonts w:ascii="Arial" w:hAnsi="Arial" w:cs="Arial"/>
          <w:sz w:val="22"/>
          <w:szCs w:val="22"/>
        </w:rPr>
        <w:t>IOU</w:t>
      </w:r>
      <w:r>
        <w:rPr>
          <w:rStyle w:val="normaltextrun"/>
          <w:rFonts w:ascii="Arial" w:hAnsi="Arial" w:cs="Arial"/>
          <w:sz w:val="22"/>
          <w:szCs w:val="22"/>
        </w:rPr>
        <w:t xml:space="preserve"> to study their local distribution and transmission related needs to identify how bundled energy efficiency and demand response can help meet system needs.</w:t>
      </w:r>
    </w:p>
    <w:p w14:paraId="0B2080E7" w14:textId="77777777" w:rsidR="002E75F8" w:rsidRDefault="002E75F8" w:rsidP="002E75F8">
      <w:pPr>
        <w:pStyle w:val="paragraph"/>
        <w:spacing w:before="0" w:beforeAutospacing="0" w:after="0" w:afterAutospacing="0" w:line="256" w:lineRule="auto"/>
        <w:rPr>
          <w:rStyle w:val="normaltextrun"/>
          <w:rFonts w:ascii="Arial" w:hAnsi="Arial" w:cs="Arial"/>
          <w:color w:val="1F497D" w:themeColor="text2"/>
          <w:sz w:val="22"/>
          <w:szCs w:val="22"/>
        </w:rPr>
      </w:pPr>
    </w:p>
    <w:p w14:paraId="0D2059E8" w14:textId="77777777" w:rsidR="002E75F8" w:rsidRDefault="002E75F8" w:rsidP="002E75F8">
      <w:pPr>
        <w:pStyle w:val="paragraph"/>
        <w:spacing w:before="0" w:beforeAutospacing="0" w:after="0" w:afterAutospacing="0" w:line="256" w:lineRule="auto"/>
        <w:rPr>
          <w:rStyle w:val="normaltextrun"/>
          <w:rFonts w:ascii="Arial" w:hAnsi="Arial" w:cs="Arial"/>
          <w:color w:val="1F497D" w:themeColor="text2"/>
          <w:sz w:val="22"/>
          <w:szCs w:val="22"/>
        </w:rPr>
      </w:pPr>
      <w:r>
        <w:rPr>
          <w:rStyle w:val="normaltextrun"/>
          <w:rFonts w:ascii="Arial" w:hAnsi="Arial" w:cs="Arial"/>
          <w:b/>
          <w:bCs/>
          <w:color w:val="1F497D" w:themeColor="text2"/>
          <w:sz w:val="22"/>
          <w:szCs w:val="22"/>
        </w:rPr>
        <w:t>Best Practice #7:</w:t>
      </w:r>
      <w:r>
        <w:rPr>
          <w:rStyle w:val="normaltextrun"/>
          <w:rFonts w:ascii="Arial" w:hAnsi="Arial" w:cs="Arial"/>
          <w:color w:val="1F497D" w:themeColor="text2"/>
          <w:sz w:val="22"/>
          <w:szCs w:val="22"/>
        </w:rPr>
        <w:t xml:space="preserve"> Accurately reflects the value of the demand response and energy efficiency to the grid.</w:t>
      </w:r>
    </w:p>
    <w:p w14:paraId="2D25C797" w14:textId="77777777" w:rsidR="002E75F8" w:rsidRDefault="002E75F8" w:rsidP="002E75F8">
      <w:pPr>
        <w:pStyle w:val="paragraph"/>
        <w:spacing w:before="0" w:beforeAutospacing="0" w:after="0" w:afterAutospacing="0" w:line="256" w:lineRule="auto"/>
        <w:rPr>
          <w:rStyle w:val="normaltextrun"/>
          <w:rFonts w:ascii="Arial" w:hAnsi="Arial" w:cs="Arial"/>
          <w:b/>
          <w:bCs/>
          <w:color w:val="1F497D" w:themeColor="text2"/>
        </w:rPr>
      </w:pPr>
    </w:p>
    <w:p w14:paraId="333DA47C" w14:textId="6E440154" w:rsidR="001550AA" w:rsidRDefault="001550AA" w:rsidP="001550AA">
      <w:pPr>
        <w:pStyle w:val="paragraph"/>
        <w:numPr>
          <w:ilvl w:val="0"/>
          <w:numId w:val="20"/>
        </w:numPr>
        <w:spacing w:before="0" w:beforeAutospacing="0" w:after="0" w:afterAutospacing="0" w:line="256" w:lineRule="auto"/>
        <w:rPr>
          <w:rStyle w:val="normaltextrun"/>
          <w:rFonts w:ascii="Arial" w:hAnsi="Arial" w:cs="Arial"/>
          <w:sz w:val="22"/>
          <w:szCs w:val="22"/>
        </w:rPr>
      </w:pPr>
      <w:r>
        <w:rPr>
          <w:rStyle w:val="normaltextrun"/>
          <w:rFonts w:ascii="Arial" w:hAnsi="Arial" w:cs="Arial"/>
          <w:sz w:val="22"/>
          <w:szCs w:val="22"/>
        </w:rPr>
        <w:t xml:space="preserve">Legacy energy efficiency portfolios typically only have rules to evaluate cost effectiveness of energy efficiency products and demand reductions during peak periods. As needs evolve,  portfolios need more flexible products and tools to implement best practices to realize the value </w:t>
      </w:r>
      <w:r w:rsidR="00D50C13">
        <w:rPr>
          <w:rStyle w:val="normaltextrun"/>
          <w:rFonts w:ascii="Arial" w:hAnsi="Arial" w:cs="Arial"/>
          <w:sz w:val="22"/>
          <w:szCs w:val="22"/>
        </w:rPr>
        <w:t xml:space="preserve">they bring </w:t>
      </w:r>
      <w:r>
        <w:rPr>
          <w:rStyle w:val="normaltextrun"/>
          <w:rFonts w:ascii="Arial" w:hAnsi="Arial" w:cs="Arial"/>
          <w:sz w:val="22"/>
          <w:szCs w:val="22"/>
        </w:rPr>
        <w:t xml:space="preserve">to the grid. </w:t>
      </w:r>
    </w:p>
    <w:p w14:paraId="7100FF7D" w14:textId="07D621D8" w:rsidR="00DC2BB7" w:rsidRPr="00E95E65" w:rsidRDefault="002E75F8" w:rsidP="00DC2BB7">
      <w:pPr>
        <w:pStyle w:val="Heading1"/>
      </w:pPr>
      <w:r>
        <w:t xml:space="preserve">Overarching Themes </w:t>
      </w:r>
    </w:p>
    <w:p w14:paraId="175AD1D1" w14:textId="7E0C2E76" w:rsidR="002E75F8" w:rsidRDefault="002E75F8" w:rsidP="002E75F8">
      <w:r>
        <w:t>To foster thorough discussion</w:t>
      </w:r>
      <w:r w:rsidR="00D50C13">
        <w:t xml:space="preserve"> in working groups</w:t>
      </w:r>
      <w:r>
        <w:t>, it was necessary to break out topics into manufactured silos</w:t>
      </w:r>
      <w:r w:rsidR="001550AA">
        <w:t>;</w:t>
      </w:r>
      <w:r>
        <w:t xml:space="preserve"> however</w:t>
      </w:r>
      <w:r w:rsidR="001550AA">
        <w:t>,</w:t>
      </w:r>
      <w:r>
        <w:t xml:space="preserve"> many themes overlapped from one working group to the next. Below are the common themes </w:t>
      </w:r>
      <w:r w:rsidR="00DB036D">
        <w:t xml:space="preserve">that emerged </w:t>
      </w:r>
      <w:r>
        <w:t xml:space="preserve">across all working groups. All themes have supporting perspectives from </w:t>
      </w:r>
      <w:r w:rsidR="00DB036D">
        <w:t>two</w:t>
      </w:r>
      <w:r>
        <w:t xml:space="preserve"> or more of the four working groups. Note that the supporting perspectives provided in this document are not a full representation of documented perspectives, those can be found in the detailed session </w:t>
      </w:r>
      <w:r w:rsidR="00274591">
        <w:t xml:space="preserve">summaries at the end of this memo. In addition, </w:t>
      </w:r>
      <w:r>
        <w:t xml:space="preserve">meeting </w:t>
      </w:r>
      <w:r w:rsidR="00274591">
        <w:t>recordings are available upon request for all sessions</w:t>
      </w:r>
      <w:r>
        <w:t>.</w:t>
      </w:r>
    </w:p>
    <w:p w14:paraId="599EA90C" w14:textId="731F88E2" w:rsidR="00712221" w:rsidRPr="00712221" w:rsidRDefault="00910D75" w:rsidP="00910D75">
      <w:pPr>
        <w:pStyle w:val="paragraph"/>
        <w:spacing w:line="256" w:lineRule="auto"/>
        <w:rPr>
          <w:rFonts w:ascii="Arial" w:hAnsi="Arial" w:cs="Arial"/>
          <w:b/>
          <w:bCs/>
          <w:color w:val="1F497D" w:themeColor="text2"/>
        </w:rPr>
      </w:pPr>
      <w:r>
        <w:rPr>
          <w:rStyle w:val="normaltextrun"/>
          <w:rFonts w:ascii="Arial" w:hAnsi="Arial" w:cs="Arial"/>
          <w:b/>
          <w:bCs/>
          <w:color w:val="1F497D" w:themeColor="text2"/>
          <w:sz w:val="22"/>
          <w:szCs w:val="22"/>
        </w:rPr>
        <w:t xml:space="preserve">Theme #1: </w:t>
      </w:r>
      <w:r w:rsidR="00712221" w:rsidRPr="00712221">
        <w:rPr>
          <w:rFonts w:ascii="Arial" w:hAnsi="Arial" w:cs="Arial"/>
          <w:b/>
          <w:bCs/>
          <w:color w:val="1F497D" w:themeColor="text2"/>
        </w:rPr>
        <w:t xml:space="preserve">Changes to the </w:t>
      </w:r>
      <w:r w:rsidR="00B45EA0">
        <w:rPr>
          <w:rFonts w:ascii="Arial" w:hAnsi="Arial" w:cs="Arial"/>
          <w:b/>
          <w:bCs/>
          <w:color w:val="1F497D" w:themeColor="text2"/>
        </w:rPr>
        <w:t xml:space="preserve">statute and </w:t>
      </w:r>
      <w:r w:rsidR="00712221" w:rsidRPr="00712221">
        <w:rPr>
          <w:rFonts w:ascii="Arial" w:hAnsi="Arial" w:cs="Arial"/>
          <w:b/>
          <w:bCs/>
          <w:color w:val="1F497D" w:themeColor="text2"/>
        </w:rPr>
        <w:t xml:space="preserve">regulatory framework coupled with increased transparency and coordination could be instrumental in improving energy efficiency services to customers.  </w:t>
      </w:r>
    </w:p>
    <w:p w14:paraId="36C8226D" w14:textId="760601A6" w:rsidR="00910D75" w:rsidRPr="005B3623" w:rsidRDefault="00910D75" w:rsidP="00910D75">
      <w:pPr>
        <w:rPr>
          <w:color w:val="000000" w:themeColor="text1"/>
        </w:rPr>
      </w:pPr>
      <w:r w:rsidRPr="005B3623">
        <w:rPr>
          <w:color w:val="000000" w:themeColor="text1"/>
        </w:rPr>
        <w:t xml:space="preserve">To implement identified energy efficiency best practices. changes to the energy efficiency rules </w:t>
      </w:r>
      <w:r w:rsidR="00C70CF8">
        <w:rPr>
          <w:color w:val="000000" w:themeColor="text1"/>
        </w:rPr>
        <w:t>(</w:t>
      </w:r>
      <w:r w:rsidR="004A570A">
        <w:rPr>
          <w:color w:val="000000" w:themeColor="text1"/>
        </w:rPr>
        <w:t>16 TAC §25.181</w:t>
      </w:r>
      <w:r w:rsidR="00FE1228">
        <w:rPr>
          <w:color w:val="000000" w:themeColor="text1"/>
        </w:rPr>
        <w:t xml:space="preserve">and § 25.182) </w:t>
      </w:r>
      <w:r w:rsidR="00927F2A">
        <w:rPr>
          <w:color w:val="000000" w:themeColor="text1"/>
        </w:rPr>
        <w:t>and legislative changes to statu</w:t>
      </w:r>
      <w:r w:rsidR="00B45EA0">
        <w:rPr>
          <w:color w:val="000000" w:themeColor="text1"/>
        </w:rPr>
        <w:t>t</w:t>
      </w:r>
      <w:r w:rsidR="00927F2A">
        <w:rPr>
          <w:color w:val="000000" w:themeColor="text1"/>
        </w:rPr>
        <w:t xml:space="preserve">e </w:t>
      </w:r>
      <w:r w:rsidRPr="005B3623">
        <w:rPr>
          <w:color w:val="000000" w:themeColor="text1"/>
        </w:rPr>
        <w:t>are likely needed. However, process improvements can also be accomplished through more transparent and/or better organized reporting, performance metrics and increased coordination with REPs</w:t>
      </w:r>
      <w:r w:rsidR="0071411B">
        <w:rPr>
          <w:color w:val="000000" w:themeColor="text1"/>
        </w:rPr>
        <w:t xml:space="preserve"> and other market actors</w:t>
      </w:r>
      <w:r w:rsidRPr="005B3623">
        <w:rPr>
          <w:color w:val="000000" w:themeColor="text1"/>
        </w:rPr>
        <w:t xml:space="preserve">.  </w:t>
      </w:r>
    </w:p>
    <w:p w14:paraId="335BD9C9" w14:textId="77777777" w:rsidR="00121747" w:rsidRPr="00121747" w:rsidRDefault="002E75F8" w:rsidP="00121747">
      <w:pPr>
        <w:pStyle w:val="paragraph"/>
        <w:spacing w:line="256" w:lineRule="auto"/>
        <w:rPr>
          <w:rFonts w:ascii="Arial" w:hAnsi="Arial" w:cs="Arial"/>
          <w:b/>
          <w:bCs/>
          <w:color w:val="1F497D" w:themeColor="text2"/>
        </w:rPr>
      </w:pPr>
      <w:r>
        <w:rPr>
          <w:rStyle w:val="normaltextrun"/>
          <w:rFonts w:ascii="Arial" w:hAnsi="Arial" w:cs="Arial"/>
          <w:b/>
          <w:bCs/>
          <w:color w:val="1F497D" w:themeColor="text2"/>
          <w:sz w:val="22"/>
          <w:szCs w:val="22"/>
        </w:rPr>
        <w:t>Theme #</w:t>
      </w:r>
      <w:r w:rsidR="00121747">
        <w:rPr>
          <w:rStyle w:val="normaltextrun"/>
          <w:rFonts w:ascii="Arial" w:hAnsi="Arial" w:cs="Arial"/>
          <w:b/>
          <w:bCs/>
          <w:color w:val="1F497D" w:themeColor="text2"/>
          <w:sz w:val="22"/>
          <w:szCs w:val="22"/>
        </w:rPr>
        <w:t>2</w:t>
      </w:r>
      <w:r>
        <w:rPr>
          <w:rStyle w:val="normaltextrun"/>
          <w:rFonts w:ascii="Arial" w:hAnsi="Arial" w:cs="Arial"/>
          <w:b/>
          <w:bCs/>
          <w:color w:val="1F497D" w:themeColor="text2"/>
          <w:sz w:val="22"/>
          <w:szCs w:val="22"/>
        </w:rPr>
        <w:t xml:space="preserve">: </w:t>
      </w:r>
      <w:r w:rsidR="00121747" w:rsidRPr="00121747">
        <w:rPr>
          <w:rFonts w:ascii="Arial" w:hAnsi="Arial" w:cs="Arial"/>
          <w:b/>
          <w:bCs/>
          <w:color w:val="1F497D" w:themeColor="text2"/>
        </w:rPr>
        <w:t xml:space="preserve">A myriad of issues affect the feasibility of future goals, some of which could be addressed in the regulatory framework. </w:t>
      </w:r>
    </w:p>
    <w:p w14:paraId="3C604A67" w14:textId="27EB4F23" w:rsidR="003C6292" w:rsidRPr="003C6292" w:rsidRDefault="002E75F8" w:rsidP="003A0891">
      <w:r w:rsidRPr="5F800230">
        <w:rPr>
          <w:rStyle w:val="normaltextrun"/>
          <w:color w:val="000000" w:themeColor="text1"/>
        </w:rPr>
        <w:t>Understanding the comprehensive landscape is critical to making any rule changes. Definitions, process timelines, calculations, legislative changes, etc., are all interdependent and will require a holistic view when making any adjustments.</w:t>
      </w:r>
      <w:r w:rsidR="003C6292" w:rsidRPr="00E01361">
        <w:rPr>
          <w:rFonts w:ascii="Times New Roman" w:hAnsi="Times New Roman" w:cs="Times New Roman"/>
          <w:sz w:val="24"/>
          <w:szCs w:val="24"/>
        </w:rPr>
        <w:t xml:space="preserve"> </w:t>
      </w:r>
      <w:r w:rsidR="003C6292" w:rsidRPr="003C6292">
        <w:t xml:space="preserve">Discussed issues include customer cost recovery caps, administrative and </w:t>
      </w:r>
      <w:r w:rsidR="00D57952">
        <w:t xml:space="preserve">research and development (R&amp;D) cost caps, </w:t>
      </w:r>
      <w:r w:rsidR="003C6292" w:rsidRPr="003C6292">
        <w:t xml:space="preserve">marketing needs, how rigidly goals are set, how avoided costs and program cost-effectiveness are calculated, rate class designations, the role of demand response in the </w:t>
      </w:r>
      <w:r w:rsidR="00D57952">
        <w:t>energy efficiency</w:t>
      </w:r>
      <w:r w:rsidR="003C6292" w:rsidRPr="003C6292">
        <w:t xml:space="preserve"> portfolio, and utility performance bonuses. External issues include rising baselines, other programs/funding sources and markets</w:t>
      </w:r>
      <w:r w:rsidR="00FF0377">
        <w:t xml:space="preserve">. A summary of issues discussed across working groups is </w:t>
      </w:r>
      <w:r w:rsidR="00F53A0A">
        <w:t>below,</w:t>
      </w:r>
      <w:r w:rsidR="00FF0377">
        <w:t xml:space="preserve"> but the reader is referred to the detailed results for each working group at the end of this memo. </w:t>
      </w:r>
    </w:p>
    <w:p w14:paraId="3D93D289" w14:textId="5DCBCB6E" w:rsidR="0012265D" w:rsidRDefault="00585A50" w:rsidP="0012265D">
      <w:pPr>
        <w:pStyle w:val="paragraph"/>
        <w:spacing w:line="256" w:lineRule="auto"/>
        <w:rPr>
          <w:rFonts w:ascii="Arial" w:hAnsi="Arial" w:cs="Arial"/>
          <w:b/>
          <w:bCs/>
          <w:color w:val="1F497D" w:themeColor="text2"/>
        </w:rPr>
      </w:pPr>
      <w:r>
        <w:rPr>
          <w:rStyle w:val="normaltextrun"/>
          <w:rFonts w:ascii="Arial" w:hAnsi="Arial" w:cs="Arial"/>
          <w:b/>
          <w:bCs/>
          <w:color w:val="1F497D" w:themeColor="text2"/>
          <w:sz w:val="22"/>
          <w:szCs w:val="22"/>
        </w:rPr>
        <w:t>T</w:t>
      </w:r>
      <w:r w:rsidR="0051067F">
        <w:rPr>
          <w:rStyle w:val="normaltextrun"/>
          <w:rFonts w:ascii="Arial" w:hAnsi="Arial" w:cs="Arial"/>
          <w:b/>
          <w:bCs/>
          <w:color w:val="1F497D" w:themeColor="text2"/>
          <w:sz w:val="22"/>
          <w:szCs w:val="22"/>
        </w:rPr>
        <w:t>heme #</w:t>
      </w:r>
      <w:r>
        <w:rPr>
          <w:rStyle w:val="normaltextrun"/>
          <w:rFonts w:ascii="Arial" w:hAnsi="Arial" w:cs="Arial"/>
          <w:b/>
          <w:bCs/>
          <w:color w:val="1F497D" w:themeColor="text2"/>
          <w:sz w:val="22"/>
          <w:szCs w:val="22"/>
        </w:rPr>
        <w:t>3</w:t>
      </w:r>
      <w:r w:rsidR="0051067F">
        <w:rPr>
          <w:rStyle w:val="normaltextrun"/>
          <w:rFonts w:ascii="Arial" w:hAnsi="Arial" w:cs="Arial"/>
          <w:b/>
          <w:bCs/>
          <w:color w:val="1F497D" w:themeColor="text2"/>
          <w:sz w:val="22"/>
          <w:szCs w:val="22"/>
        </w:rPr>
        <w:t xml:space="preserve">: </w:t>
      </w:r>
      <w:r w:rsidR="0012265D" w:rsidRPr="0012265D">
        <w:rPr>
          <w:rFonts w:ascii="Arial" w:hAnsi="Arial" w:cs="Arial"/>
          <w:b/>
          <w:bCs/>
          <w:color w:val="1F497D" w:themeColor="text2"/>
        </w:rPr>
        <w:t>Benefits from the energy efficiency portfolios can be better captured and conveyed.</w:t>
      </w:r>
    </w:p>
    <w:p w14:paraId="1A40864B" w14:textId="39AA1A6B" w:rsidR="0012265D" w:rsidRPr="0012265D" w:rsidRDefault="0012265D" w:rsidP="0012265D">
      <w:r w:rsidRPr="0012265D">
        <w:t xml:space="preserve">If reasonable methodologies are identified, avoided cost calculations could include grid and </w:t>
      </w:r>
      <w:r w:rsidR="00E54641">
        <w:t xml:space="preserve">transmission and distribution (T&amp;D) </w:t>
      </w:r>
      <w:r w:rsidRPr="0012265D">
        <w:t xml:space="preserve">benefits and/or cost-effectiveness testing could be modified to include grid, T&amp;D benefits, and/or non-energy benefits. In addition, more comprehensive reporting across the entire state (i.e., IOUs, cooperative and municipal utilities, industrial opt-outs) could better measure where the state is in energy efficiency and where it should go. </w:t>
      </w:r>
    </w:p>
    <w:p w14:paraId="5D06E525" w14:textId="6B00AF21" w:rsidR="0051067F" w:rsidRPr="00585A50" w:rsidRDefault="0051067F" w:rsidP="0051067F">
      <w:pPr>
        <w:pStyle w:val="paragraph"/>
        <w:spacing w:before="0" w:beforeAutospacing="0" w:after="0" w:afterAutospacing="0" w:line="256" w:lineRule="auto"/>
        <w:rPr>
          <w:rStyle w:val="normaltextrun"/>
          <w:rFonts w:ascii="Arial" w:hAnsi="Arial" w:cs="Arial"/>
          <w:b/>
          <w:bCs/>
          <w:color w:val="1F497D" w:themeColor="text2"/>
          <w:sz w:val="22"/>
          <w:szCs w:val="22"/>
        </w:rPr>
      </w:pPr>
    </w:p>
    <w:p w14:paraId="41F02BDB" w14:textId="531E9CBE" w:rsidR="002E75F8" w:rsidRPr="00585A50" w:rsidRDefault="002E75F8" w:rsidP="002E75F8">
      <w:pPr>
        <w:pStyle w:val="paragraph"/>
        <w:spacing w:before="0" w:beforeAutospacing="0" w:after="0" w:afterAutospacing="0" w:line="256" w:lineRule="auto"/>
        <w:rPr>
          <w:rStyle w:val="normaltextrun"/>
          <w:rFonts w:ascii="Arial" w:hAnsi="Arial" w:cs="Arial"/>
          <w:b/>
          <w:bCs/>
          <w:color w:val="1F497D" w:themeColor="text2"/>
          <w:sz w:val="22"/>
          <w:szCs w:val="22"/>
        </w:rPr>
      </w:pPr>
      <w:r w:rsidRPr="5F800230">
        <w:rPr>
          <w:rStyle w:val="normaltextrun"/>
          <w:rFonts w:ascii="Arial" w:hAnsi="Arial" w:cs="Arial"/>
          <w:b/>
          <w:color w:val="1F497D" w:themeColor="text2"/>
        </w:rPr>
        <w:t>Theme #</w:t>
      </w:r>
      <w:r w:rsidR="0051067F" w:rsidRPr="5F800230">
        <w:rPr>
          <w:rStyle w:val="normaltextrun"/>
          <w:rFonts w:ascii="Arial" w:hAnsi="Arial" w:cs="Arial"/>
          <w:b/>
          <w:color w:val="1F497D" w:themeColor="text2"/>
        </w:rPr>
        <w:t>4</w:t>
      </w:r>
      <w:r w:rsidRPr="5F800230">
        <w:rPr>
          <w:rStyle w:val="normaltextrun"/>
          <w:rFonts w:ascii="Arial" w:hAnsi="Arial" w:cs="Arial"/>
          <w:b/>
          <w:color w:val="1F497D" w:themeColor="text2"/>
        </w:rPr>
        <w:t xml:space="preserve">: Complexity adds </w:t>
      </w:r>
      <w:r w:rsidR="00C53DF8" w:rsidRPr="5F800230">
        <w:rPr>
          <w:rStyle w:val="normaltextrun"/>
          <w:rFonts w:ascii="Arial" w:hAnsi="Arial" w:cs="Arial"/>
          <w:b/>
          <w:color w:val="1F497D" w:themeColor="text2"/>
        </w:rPr>
        <w:t xml:space="preserve">barriers and </w:t>
      </w:r>
      <w:r w:rsidRPr="5F800230">
        <w:rPr>
          <w:rStyle w:val="normaltextrun"/>
          <w:rFonts w:ascii="Arial" w:hAnsi="Arial" w:cs="Arial"/>
          <w:b/>
          <w:color w:val="1F497D" w:themeColor="text2"/>
        </w:rPr>
        <w:t>costs</w:t>
      </w:r>
      <w:r w:rsidR="00C53DF8" w:rsidRPr="5F800230">
        <w:rPr>
          <w:rStyle w:val="normaltextrun"/>
          <w:rFonts w:ascii="Arial" w:hAnsi="Arial" w:cs="Arial"/>
          <w:b/>
          <w:color w:val="1F497D" w:themeColor="text2"/>
        </w:rPr>
        <w:t xml:space="preserve">; </w:t>
      </w:r>
      <w:r w:rsidRPr="5F800230">
        <w:rPr>
          <w:rStyle w:val="normaltextrun"/>
          <w:rFonts w:ascii="Arial" w:hAnsi="Arial" w:cs="Arial"/>
          <w:b/>
          <w:color w:val="1F497D" w:themeColor="text2"/>
        </w:rPr>
        <w:t xml:space="preserve">streamlining </w:t>
      </w:r>
      <w:r w:rsidR="00C53DF8" w:rsidRPr="5F800230">
        <w:rPr>
          <w:rStyle w:val="normaltextrun"/>
          <w:rFonts w:ascii="Arial" w:hAnsi="Arial" w:cs="Arial"/>
          <w:b/>
          <w:color w:val="1F497D" w:themeColor="text2"/>
        </w:rPr>
        <w:t>and flexibility foster</w:t>
      </w:r>
      <w:r w:rsidRPr="5F800230">
        <w:rPr>
          <w:rStyle w:val="normaltextrun"/>
          <w:rFonts w:ascii="Arial" w:hAnsi="Arial" w:cs="Arial"/>
          <w:b/>
          <w:color w:val="1F497D" w:themeColor="text2"/>
        </w:rPr>
        <w:t xml:space="preserve"> success.</w:t>
      </w:r>
    </w:p>
    <w:p w14:paraId="3AB4FA5E" w14:textId="3A1BD4DB" w:rsidR="00DC2BB7" w:rsidRPr="003B0422" w:rsidRDefault="00C53DF8" w:rsidP="00F43BCE">
      <w:pPr>
        <w:rPr>
          <w:i/>
          <w:iCs/>
        </w:rPr>
      </w:pPr>
      <w:r w:rsidRPr="00C53DF8">
        <w:t xml:space="preserve">The programs have multiple objectives, some of which are reflected in separate goals: peak demand reductions, energy savings, and serving low-income and hard-to-reach customers. Objectives and goals do not work in isolation. They need to be considered comprehensively and allow flexibility across different service territories to meet different needs. </w:t>
      </w:r>
      <w:r w:rsidRPr="00C53DF8">
        <w:rPr>
          <w:b/>
          <w:bCs/>
        </w:rPr>
        <w:t xml:space="preserve"> </w:t>
      </w:r>
    </w:p>
    <w:p w14:paraId="2CF7C5E7" w14:textId="375D6DA1" w:rsidR="00DC2BB7" w:rsidRDefault="00414455" w:rsidP="00B66329">
      <w:pPr>
        <w:pStyle w:val="Heading1"/>
      </w:pPr>
      <w:r>
        <w:t>K</w:t>
      </w:r>
      <w:r w:rsidR="009F0D7A">
        <w:t>ey</w:t>
      </w:r>
      <w:r w:rsidR="00DC2BB7">
        <w:t xml:space="preserve"> </w:t>
      </w:r>
      <w:r>
        <w:t>I</w:t>
      </w:r>
      <w:r w:rsidR="00DC2BB7">
        <w:t>ssues</w:t>
      </w:r>
    </w:p>
    <w:p w14:paraId="3CDF0941" w14:textId="39664A88" w:rsidR="002E75F8" w:rsidRDefault="002E75F8" w:rsidP="002E75F8">
      <w:pPr>
        <w:rPr>
          <w:rFonts w:cs="Times New Roman"/>
        </w:rPr>
      </w:pPr>
      <w:r>
        <w:t xml:space="preserve">Below is an outline of the </w:t>
      </w:r>
      <w:r w:rsidR="009F0D7A">
        <w:t xml:space="preserve">key issues </w:t>
      </w:r>
      <w:r w:rsidR="00307837">
        <w:t>across the four</w:t>
      </w:r>
      <w:r>
        <w:t xml:space="preserve"> working group</w:t>
      </w:r>
      <w:r w:rsidR="009F0D7A">
        <w:t xml:space="preserve">s. </w:t>
      </w:r>
      <w:r w:rsidR="00D0642B">
        <w:t xml:space="preserve">All are key priorities. </w:t>
      </w:r>
      <w:r w:rsidR="001E6CE5">
        <w:t>T</w:t>
      </w:r>
      <w:r w:rsidR="00BE648A">
        <w:t>he</w:t>
      </w:r>
      <w:r w:rsidR="00D0642B">
        <w:t xml:space="preserve"> </w:t>
      </w:r>
      <w:r w:rsidR="009F0D7A">
        <w:t>p</w:t>
      </w:r>
      <w:r>
        <w:t>riorit</w:t>
      </w:r>
      <w:r w:rsidR="009F0D7A">
        <w:t xml:space="preserve">y level (high, medium, low) </w:t>
      </w:r>
      <w:r w:rsidR="00113A81">
        <w:t>is</w:t>
      </w:r>
      <w:r w:rsidR="009F0D7A">
        <w:t xml:space="preserve"> </w:t>
      </w:r>
      <w:r>
        <w:t xml:space="preserve">based on </w:t>
      </w:r>
      <w:r w:rsidR="00A0756E">
        <w:t>whether a change in statute or rule is required</w:t>
      </w:r>
      <w:r>
        <w:t xml:space="preserve">. A high priority indicates </w:t>
      </w:r>
      <w:r w:rsidR="008757A9">
        <w:t xml:space="preserve">statute or rule changes are </w:t>
      </w:r>
      <w:r w:rsidR="00F54204">
        <w:t>needed</w:t>
      </w:r>
      <w:r w:rsidR="00CE2979">
        <w:t xml:space="preserve">. Medium priority items had either areas of agreement or a statute or rule change may not be needed. </w:t>
      </w:r>
      <w:r>
        <w:t xml:space="preserve">A low priority indicates that </w:t>
      </w:r>
      <w:r w:rsidR="009E3707">
        <w:t xml:space="preserve">statute or </w:t>
      </w:r>
      <w:r w:rsidR="00D0642B">
        <w:t xml:space="preserve">rule language </w:t>
      </w:r>
      <w:r w:rsidR="009F0D7A">
        <w:t xml:space="preserve">is </w:t>
      </w:r>
      <w:r w:rsidR="0088537E">
        <w:t>adequate</w:t>
      </w:r>
      <w:r w:rsidR="009F0D7A">
        <w:t xml:space="preserve">, but </w:t>
      </w:r>
      <w:r>
        <w:t>a process</w:t>
      </w:r>
      <w:r w:rsidR="009E3707">
        <w:t xml:space="preserve"> </w:t>
      </w:r>
      <w:r w:rsidR="00CE2979">
        <w:t xml:space="preserve">improvement is needed to facilitate change.  </w:t>
      </w:r>
      <w:r w:rsidR="00CE2979">
        <w:rPr>
          <w:b/>
          <w:bCs/>
          <w:noProof/>
          <w:color w:val="F79646" w:themeColor="accent6"/>
        </w:rPr>
        <w:t xml:space="preserve"> </w:t>
      </w:r>
      <w:r>
        <w:rPr>
          <w:b/>
          <w:noProof/>
          <w:color w:val="F79646" w:themeColor="accent6"/>
        </w:rPr>
        <w:drawing>
          <wp:inline distT="0" distB="0" distL="0" distR="0" wp14:anchorId="3AB495AE" wp14:editId="60D3EB6D">
            <wp:extent cx="6203950" cy="3295650"/>
            <wp:effectExtent l="38100" t="0" r="25400" b="1905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6B286B32" w14:textId="46F3544C" w:rsidR="00DC2BB7" w:rsidRDefault="002E75F8" w:rsidP="00A321AE">
      <w:pPr>
        <w:pStyle w:val="Heading1"/>
      </w:pPr>
      <w:r>
        <w:t>Working Group Detailed Summary Tables</w:t>
      </w:r>
    </w:p>
    <w:p w14:paraId="7E70C8AD" w14:textId="1FDB4B63" w:rsidR="002E75F8" w:rsidRDefault="002E75F8" w:rsidP="002E75F8">
      <w:r>
        <w:t xml:space="preserve">This section provides detailed summary tables for each Working Group. The EM&amp;V team prepared summary tables and gave all Working Group participants 10 days to review the summaries and provide edits and feedback. </w:t>
      </w:r>
    </w:p>
    <w:p w14:paraId="192CAAE2" w14:textId="47CF8DA2" w:rsidR="002E75F8" w:rsidRDefault="002E75F8" w:rsidP="002E75F8">
      <w:pPr>
        <w:pStyle w:val="Heading2"/>
      </w:pPr>
      <w:r>
        <w:t>Program Goals</w:t>
      </w:r>
    </w:p>
    <w:p w14:paraId="0FB75540" w14:textId="6C7E728C" w:rsidR="00F516D4" w:rsidRDefault="00F516D4" w:rsidP="00F516D4">
      <w:pPr>
        <w:pStyle w:val="Heading3"/>
      </w:pPr>
      <w:r w:rsidRPr="008E2860">
        <w:t>Session 1 January 23</w:t>
      </w:r>
      <w:r w:rsidRPr="008E2860">
        <w:rPr>
          <w:vertAlign w:val="superscript"/>
        </w:rPr>
        <w:t>rd</w:t>
      </w:r>
      <w:r w:rsidRPr="008E2860">
        <w:t>, 2023</w:t>
      </w:r>
      <w:r w:rsidR="00414455">
        <w:t>—</w:t>
      </w:r>
      <w:r>
        <w:t>Peak</w:t>
      </w:r>
      <w:r w:rsidR="00414455">
        <w:t xml:space="preserve"> D</w:t>
      </w:r>
      <w:r>
        <w:t xml:space="preserve">emand </w:t>
      </w:r>
      <w:r w:rsidR="00414455">
        <w:t>R</w:t>
      </w:r>
      <w:r>
        <w:t xml:space="preserve">eduction (kW) </w:t>
      </w:r>
      <w:r w:rsidR="00414455">
        <w:t>G</w:t>
      </w:r>
      <w:r>
        <w:t xml:space="preserve">oals </w:t>
      </w:r>
      <w:r w:rsidR="00414455">
        <w:t>D</w:t>
      </w:r>
      <w:r>
        <w:t>iscussion</w:t>
      </w:r>
    </w:p>
    <w:p w14:paraId="074E32FF" w14:textId="168E1F47" w:rsidR="00F516D4" w:rsidRPr="008E2860" w:rsidRDefault="00F516D4" w:rsidP="00F516D4">
      <w:r>
        <w:t>The table below summarizes the key issues identified and places a priority/level of effort for addressing this issue in a rulemaking</w:t>
      </w:r>
      <w:r w:rsidR="008D097D">
        <w:t xml:space="preserve"> and/or legislative change.</w:t>
      </w:r>
      <w:r w:rsidR="00414455">
        <w:br/>
      </w:r>
    </w:p>
    <w:tbl>
      <w:tblPr>
        <w:tblStyle w:val="GridTable4-Accent5"/>
        <w:tblW w:w="1007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70"/>
        <w:gridCol w:w="4425"/>
        <w:gridCol w:w="3780"/>
      </w:tblGrid>
      <w:tr w:rsidR="00F516D4" w:rsidRPr="006B28E3" w14:paraId="51EF7257" w14:textId="77777777" w:rsidTr="00414455">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870" w:type="dxa"/>
            <w:tcBorders>
              <w:top w:val="none" w:sz="0" w:space="0" w:color="auto"/>
              <w:left w:val="none" w:sz="0" w:space="0" w:color="auto"/>
              <w:bottom w:val="none" w:sz="0" w:space="0" w:color="auto"/>
              <w:right w:val="none" w:sz="0" w:space="0" w:color="auto"/>
            </w:tcBorders>
            <w:shd w:val="clear" w:color="auto" w:fill="25408F"/>
          </w:tcPr>
          <w:p w14:paraId="5E0723B2" w14:textId="77777777" w:rsidR="00F516D4" w:rsidRPr="006B28E3" w:rsidRDefault="00F516D4" w:rsidP="00414455">
            <w:pPr>
              <w:pStyle w:val="TT-TableHeading"/>
              <w:rPr>
                <w:bCs/>
              </w:rPr>
            </w:pPr>
            <w:r w:rsidRPr="006B28E3">
              <w:t>Issue</w:t>
            </w:r>
          </w:p>
        </w:tc>
        <w:tc>
          <w:tcPr>
            <w:tcW w:w="4425" w:type="dxa"/>
            <w:tcBorders>
              <w:top w:val="none" w:sz="0" w:space="0" w:color="auto"/>
              <w:left w:val="none" w:sz="0" w:space="0" w:color="auto"/>
              <w:bottom w:val="none" w:sz="0" w:space="0" w:color="auto"/>
              <w:right w:val="none" w:sz="0" w:space="0" w:color="auto"/>
            </w:tcBorders>
            <w:shd w:val="clear" w:color="auto" w:fill="25408F"/>
          </w:tcPr>
          <w:p w14:paraId="52F1534E" w14:textId="77777777" w:rsidR="00F516D4" w:rsidRPr="006B28E3" w:rsidRDefault="00F516D4" w:rsidP="00414455">
            <w:pPr>
              <w:pStyle w:val="TT-TableHeading"/>
              <w:cnfStyle w:val="100000000000" w:firstRow="1" w:lastRow="0" w:firstColumn="0" w:lastColumn="0" w:oddVBand="0" w:evenVBand="0" w:oddHBand="0" w:evenHBand="0" w:firstRowFirstColumn="0" w:firstRowLastColumn="0" w:lastRowFirstColumn="0" w:lastRowLastColumn="0"/>
              <w:rPr>
                <w:bCs/>
              </w:rPr>
            </w:pPr>
            <w:r w:rsidRPr="006B28E3">
              <w:t>Summary</w:t>
            </w:r>
          </w:p>
        </w:tc>
        <w:tc>
          <w:tcPr>
            <w:tcW w:w="3780" w:type="dxa"/>
            <w:tcBorders>
              <w:top w:val="none" w:sz="0" w:space="0" w:color="auto"/>
              <w:left w:val="none" w:sz="0" w:space="0" w:color="auto"/>
              <w:bottom w:val="none" w:sz="0" w:space="0" w:color="auto"/>
              <w:right w:val="none" w:sz="0" w:space="0" w:color="auto"/>
            </w:tcBorders>
            <w:shd w:val="clear" w:color="auto" w:fill="25408F"/>
          </w:tcPr>
          <w:p w14:paraId="0F15C9E8" w14:textId="37022F06" w:rsidR="00F516D4" w:rsidRPr="006B28E3" w:rsidRDefault="00F516D4" w:rsidP="00414455">
            <w:pPr>
              <w:pStyle w:val="TT-TableHeading"/>
              <w:cnfStyle w:val="100000000000" w:firstRow="1" w:lastRow="0" w:firstColumn="0" w:lastColumn="0" w:oddVBand="0" w:evenVBand="0" w:oddHBand="0" w:evenHBand="0" w:firstRowFirstColumn="0" w:firstRowLastColumn="0" w:lastRowFirstColumn="0" w:lastRowLastColumn="0"/>
              <w:rPr>
                <w:bCs/>
              </w:rPr>
            </w:pPr>
            <w:r w:rsidRPr="006B28E3">
              <w:t xml:space="preserve">Working Group </w:t>
            </w:r>
            <w:r w:rsidR="00414455">
              <w:t>p</w:t>
            </w:r>
            <w:r w:rsidRPr="006B28E3">
              <w:t xml:space="preserve">riority and </w:t>
            </w:r>
            <w:r w:rsidR="00414455">
              <w:t>w</w:t>
            </w:r>
            <w:r w:rsidRPr="006B28E3">
              <w:t>hy</w:t>
            </w:r>
          </w:p>
        </w:tc>
      </w:tr>
      <w:tr w:rsidR="00F516D4" w:rsidRPr="006B28E3" w14:paraId="6FF646DD" w14:textId="77777777" w:rsidTr="004144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0" w:type="dxa"/>
          </w:tcPr>
          <w:p w14:paraId="6A02621F" w14:textId="031340EA" w:rsidR="00F516D4" w:rsidRPr="006B28E3" w:rsidRDefault="00F516D4" w:rsidP="00C87A90">
            <w:pPr>
              <w:rPr>
                <w:sz w:val="20"/>
                <w:szCs w:val="20"/>
              </w:rPr>
            </w:pPr>
            <w:r w:rsidRPr="006B28E3">
              <w:rPr>
                <w:sz w:val="20"/>
                <w:szCs w:val="20"/>
              </w:rPr>
              <w:t xml:space="preserve">Level of </w:t>
            </w:r>
            <w:r w:rsidR="00414455">
              <w:rPr>
                <w:sz w:val="20"/>
                <w:szCs w:val="20"/>
              </w:rPr>
              <w:t>g</w:t>
            </w:r>
            <w:r w:rsidRPr="006B28E3">
              <w:rPr>
                <w:sz w:val="20"/>
                <w:szCs w:val="20"/>
              </w:rPr>
              <w:t xml:space="preserve">oals  </w:t>
            </w:r>
          </w:p>
        </w:tc>
        <w:tc>
          <w:tcPr>
            <w:tcW w:w="4425" w:type="dxa"/>
          </w:tcPr>
          <w:p w14:paraId="787B3C64" w14:textId="77777777" w:rsidR="00F516D4" w:rsidRPr="006B28E3"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6B28E3">
              <w:rPr>
                <w:sz w:val="20"/>
                <w:szCs w:val="20"/>
              </w:rPr>
              <w:t xml:space="preserve">PURA first established long-term goals in 1999 for the IOUs. Since 2013, “floor” of 30% of demand growth or 4/10 of 1% of summer peak. “Floor” means that goals cannot be less than prior year goals even if demand growth becomes negative. Larger utilities are tracking to 4/10 of 1% summer peak and others are tracking at 30% demand growth.   </w:t>
            </w:r>
          </w:p>
        </w:tc>
        <w:tc>
          <w:tcPr>
            <w:tcW w:w="3780" w:type="dxa"/>
          </w:tcPr>
          <w:p w14:paraId="2AC8AF35" w14:textId="341304CF" w:rsidR="00F516D4" w:rsidRPr="006B28E3"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6B28E3">
              <w:rPr>
                <w:b/>
                <w:bCs/>
                <w:sz w:val="20"/>
                <w:szCs w:val="20"/>
              </w:rPr>
              <w:t>High Priority:</w:t>
            </w:r>
            <w:r w:rsidRPr="006B28E3">
              <w:rPr>
                <w:sz w:val="20"/>
                <w:szCs w:val="20"/>
              </w:rPr>
              <w:t xml:space="preserve"> Many stakeholders believe the goals are outdated and too low as all utilities are meeting, even exceeding, the set goa</w:t>
            </w:r>
            <w:r w:rsidR="008068E2">
              <w:rPr>
                <w:sz w:val="20"/>
                <w:szCs w:val="20"/>
              </w:rPr>
              <w:t>l</w:t>
            </w:r>
            <w:r w:rsidRPr="006B28E3">
              <w:rPr>
                <w:sz w:val="20"/>
                <w:szCs w:val="20"/>
              </w:rPr>
              <w:t xml:space="preserve">s. For  example, Sierra Club </w:t>
            </w:r>
            <w:r w:rsidR="00321954" w:rsidRPr="006B28E3">
              <w:rPr>
                <w:sz w:val="20"/>
                <w:szCs w:val="20"/>
              </w:rPr>
              <w:t xml:space="preserve">and Texas Consumer Advocacy </w:t>
            </w:r>
            <w:r w:rsidRPr="006B28E3">
              <w:rPr>
                <w:sz w:val="20"/>
                <w:szCs w:val="20"/>
              </w:rPr>
              <w:t>suggested increasing the peak demand goal</w:t>
            </w:r>
            <w:r w:rsidR="00321954" w:rsidRPr="006B28E3">
              <w:rPr>
                <w:sz w:val="20"/>
                <w:szCs w:val="20"/>
              </w:rPr>
              <w:t xml:space="preserve"> </w:t>
            </w:r>
            <w:r w:rsidRPr="006B28E3">
              <w:rPr>
                <w:sz w:val="20"/>
                <w:szCs w:val="20"/>
              </w:rPr>
              <w:t>and requiring utilities to meet both a winter and summer pea</w:t>
            </w:r>
            <w:r w:rsidR="00321954" w:rsidRPr="006B28E3">
              <w:rPr>
                <w:sz w:val="20"/>
                <w:szCs w:val="20"/>
              </w:rPr>
              <w:t>k</w:t>
            </w:r>
            <w:r w:rsidRPr="006B28E3">
              <w:rPr>
                <w:sz w:val="20"/>
                <w:szCs w:val="20"/>
              </w:rPr>
              <w:t>. Utilities voiced some concern about increasing goals without understanding how Load Management programs will be tracked as they are not meeting</w:t>
            </w:r>
            <w:r w:rsidR="006B28E3" w:rsidRPr="006B28E3">
              <w:rPr>
                <w:sz w:val="20"/>
                <w:szCs w:val="20"/>
              </w:rPr>
              <w:t xml:space="preserve"> current</w:t>
            </w:r>
            <w:r w:rsidRPr="006B28E3">
              <w:rPr>
                <w:sz w:val="20"/>
                <w:szCs w:val="20"/>
              </w:rPr>
              <w:t xml:space="preserve"> peak kW goals excluding load management. Utilities also note  </w:t>
            </w:r>
            <w:r w:rsidR="00263578" w:rsidRPr="006B28E3">
              <w:rPr>
                <w:sz w:val="20"/>
                <w:szCs w:val="20"/>
              </w:rPr>
              <w:t>increase</w:t>
            </w:r>
            <w:r w:rsidR="00263578" w:rsidRPr="006B28E3">
              <w:rPr>
                <w:sz w:val="20"/>
              </w:rPr>
              <w:t>d</w:t>
            </w:r>
            <w:r w:rsidRPr="006B28E3">
              <w:rPr>
                <w:sz w:val="20"/>
                <w:szCs w:val="20"/>
              </w:rPr>
              <w:t xml:space="preserve"> codes and standards that just came into effect. </w:t>
            </w:r>
          </w:p>
        </w:tc>
      </w:tr>
      <w:tr w:rsidR="00F516D4" w:rsidRPr="006B28E3" w14:paraId="308DFBE7" w14:textId="77777777" w:rsidTr="00414455">
        <w:trPr>
          <w:jc w:val="center"/>
        </w:trPr>
        <w:tc>
          <w:tcPr>
            <w:cnfStyle w:val="001000000000" w:firstRow="0" w:lastRow="0" w:firstColumn="1" w:lastColumn="0" w:oddVBand="0" w:evenVBand="0" w:oddHBand="0" w:evenHBand="0" w:firstRowFirstColumn="0" w:firstRowLastColumn="0" w:lastRowFirstColumn="0" w:lastRowLastColumn="0"/>
            <w:tcW w:w="1870" w:type="dxa"/>
          </w:tcPr>
          <w:p w14:paraId="5609787B" w14:textId="77777777" w:rsidR="00F516D4" w:rsidRPr="006B28E3" w:rsidRDefault="00F516D4" w:rsidP="00C87A90">
            <w:pPr>
              <w:rPr>
                <w:sz w:val="20"/>
                <w:szCs w:val="20"/>
              </w:rPr>
            </w:pPr>
            <w:r w:rsidRPr="006B28E3">
              <w:rPr>
                <w:sz w:val="20"/>
                <w:szCs w:val="20"/>
              </w:rPr>
              <w:t>Peak kW Definition</w:t>
            </w:r>
          </w:p>
        </w:tc>
        <w:tc>
          <w:tcPr>
            <w:tcW w:w="4425" w:type="dxa"/>
          </w:tcPr>
          <w:p w14:paraId="445FEB9D" w14:textId="1230FE56" w:rsidR="00F516D4" w:rsidRPr="006B28E3" w:rsidRDefault="004A570A" w:rsidP="00C87A90">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08189F">
              <w:rPr>
                <w:sz w:val="20"/>
                <w:szCs w:val="20"/>
              </w:rPr>
              <w:t xml:space="preserve"> </w:t>
            </w:r>
            <w:r w:rsidR="00F516D4" w:rsidRPr="006B28E3">
              <w:rPr>
                <w:sz w:val="20"/>
                <w:szCs w:val="20"/>
              </w:rPr>
              <w:t>defines Winter (Dec – Feb) and Summer (May – Sept) Peak periods and that utilities can only claim winter or summer peak for each measure.</w:t>
            </w:r>
          </w:p>
        </w:tc>
        <w:tc>
          <w:tcPr>
            <w:tcW w:w="3780" w:type="dxa"/>
          </w:tcPr>
          <w:p w14:paraId="2EDEB336" w14:textId="77777777" w:rsidR="00F516D4" w:rsidRPr="006B28E3" w:rsidRDefault="00F516D4" w:rsidP="00C87A90">
            <w:pPr>
              <w:cnfStyle w:val="000000000000" w:firstRow="0" w:lastRow="0" w:firstColumn="0" w:lastColumn="0" w:oddVBand="0" w:evenVBand="0" w:oddHBand="0" w:evenHBand="0" w:firstRowFirstColumn="0" w:firstRowLastColumn="0" w:lastRowFirstColumn="0" w:lastRowLastColumn="0"/>
              <w:rPr>
                <w:b/>
                <w:bCs/>
                <w:sz w:val="20"/>
                <w:szCs w:val="20"/>
              </w:rPr>
            </w:pPr>
            <w:r w:rsidRPr="006B28E3">
              <w:rPr>
                <w:b/>
                <w:bCs/>
                <w:sz w:val="20"/>
                <w:szCs w:val="20"/>
              </w:rPr>
              <w:t>High Priority:</w:t>
            </w:r>
            <w:r w:rsidRPr="006B28E3">
              <w:rPr>
                <w:sz w:val="20"/>
                <w:szCs w:val="20"/>
              </w:rPr>
              <w:t xml:space="preserve"> Many different ideas on how to define a kW to capture the value in measures with additive savings for both a summer and winter peak reduction along with the duration of the benefit. </w:t>
            </w:r>
          </w:p>
        </w:tc>
      </w:tr>
      <w:tr w:rsidR="00F516D4" w:rsidRPr="006B28E3" w14:paraId="5539EC31" w14:textId="77777777" w:rsidTr="004144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0" w:type="dxa"/>
          </w:tcPr>
          <w:p w14:paraId="5205AC3A" w14:textId="243ABDB8" w:rsidR="00F516D4" w:rsidRPr="006B28E3" w:rsidRDefault="00F516D4" w:rsidP="00C87A90">
            <w:pPr>
              <w:rPr>
                <w:sz w:val="20"/>
                <w:szCs w:val="20"/>
              </w:rPr>
            </w:pPr>
            <w:r w:rsidRPr="006B28E3">
              <w:rPr>
                <w:sz w:val="20"/>
                <w:szCs w:val="20"/>
              </w:rPr>
              <w:t>Claiming/</w:t>
            </w:r>
            <w:r w:rsidR="00414455" w:rsidRPr="006B28E3">
              <w:rPr>
                <w:sz w:val="20"/>
                <w:szCs w:val="20"/>
              </w:rPr>
              <w:t>valuing savings</w:t>
            </w:r>
          </w:p>
        </w:tc>
        <w:tc>
          <w:tcPr>
            <w:tcW w:w="4425" w:type="dxa"/>
          </w:tcPr>
          <w:p w14:paraId="3EAD08B5" w14:textId="1B8681DF" w:rsidR="00F516D4" w:rsidRPr="006B28E3" w:rsidRDefault="0008189F" w:rsidP="00C87A90">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In </w:t>
            </w:r>
            <w:r w:rsidR="004A570A">
              <w:rPr>
                <w:sz w:val="20"/>
                <w:szCs w:val="20"/>
              </w:rPr>
              <w:t>16 TAC §25.181</w:t>
            </w:r>
            <w:r>
              <w:rPr>
                <w:sz w:val="20"/>
                <w:szCs w:val="20"/>
              </w:rPr>
              <w:t xml:space="preserve"> </w:t>
            </w:r>
            <w:r w:rsidR="00F516D4" w:rsidRPr="006B28E3">
              <w:rPr>
                <w:sz w:val="20"/>
                <w:szCs w:val="20"/>
              </w:rPr>
              <w:t xml:space="preserve">kW Peak Demand definition a measure can only claim winter or summer peak savings but not both. </w:t>
            </w:r>
          </w:p>
        </w:tc>
        <w:tc>
          <w:tcPr>
            <w:tcW w:w="3780" w:type="dxa"/>
          </w:tcPr>
          <w:p w14:paraId="0F33E737" w14:textId="77777777" w:rsidR="00F516D4" w:rsidRPr="006B28E3" w:rsidRDefault="00F516D4" w:rsidP="00C87A90">
            <w:pPr>
              <w:cnfStyle w:val="000000100000" w:firstRow="0" w:lastRow="0" w:firstColumn="0" w:lastColumn="0" w:oddVBand="0" w:evenVBand="0" w:oddHBand="1" w:evenHBand="0" w:firstRowFirstColumn="0" w:firstRowLastColumn="0" w:lastRowFirstColumn="0" w:lastRowLastColumn="0"/>
              <w:rPr>
                <w:b/>
                <w:bCs/>
                <w:sz w:val="20"/>
                <w:szCs w:val="20"/>
              </w:rPr>
            </w:pPr>
            <w:r w:rsidRPr="006B28E3">
              <w:rPr>
                <w:b/>
                <w:bCs/>
                <w:sz w:val="20"/>
                <w:szCs w:val="20"/>
              </w:rPr>
              <w:t>High Priority:</w:t>
            </w:r>
            <w:r w:rsidRPr="006B28E3">
              <w:rPr>
                <w:sz w:val="20"/>
                <w:szCs w:val="20"/>
              </w:rPr>
              <w:t xml:space="preserve"> All stakeholders seem to agree that there is value in both winter and summer kW peak savings. </w:t>
            </w:r>
          </w:p>
        </w:tc>
      </w:tr>
      <w:tr w:rsidR="00F516D4" w:rsidRPr="006B28E3" w14:paraId="2D5508B5" w14:textId="77777777" w:rsidTr="00414455">
        <w:trPr>
          <w:jc w:val="center"/>
        </w:trPr>
        <w:tc>
          <w:tcPr>
            <w:cnfStyle w:val="001000000000" w:firstRow="0" w:lastRow="0" w:firstColumn="1" w:lastColumn="0" w:oddVBand="0" w:evenVBand="0" w:oddHBand="0" w:evenHBand="0" w:firstRowFirstColumn="0" w:firstRowLastColumn="0" w:lastRowFirstColumn="0" w:lastRowLastColumn="0"/>
            <w:tcW w:w="1870" w:type="dxa"/>
          </w:tcPr>
          <w:p w14:paraId="2A26EB05" w14:textId="13326909" w:rsidR="00F516D4" w:rsidRPr="006B28E3" w:rsidRDefault="00F516D4" w:rsidP="00C87A90">
            <w:pPr>
              <w:rPr>
                <w:sz w:val="20"/>
                <w:szCs w:val="20"/>
              </w:rPr>
            </w:pPr>
            <w:r w:rsidRPr="006B28E3">
              <w:rPr>
                <w:sz w:val="20"/>
                <w:szCs w:val="20"/>
              </w:rPr>
              <w:t>Geo</w:t>
            </w:r>
            <w:r w:rsidR="00A22A3E">
              <w:rPr>
                <w:sz w:val="20"/>
                <w:szCs w:val="20"/>
              </w:rPr>
              <w:t>t</w:t>
            </w:r>
            <w:r w:rsidRPr="006B28E3">
              <w:rPr>
                <w:sz w:val="20"/>
                <w:szCs w:val="20"/>
              </w:rPr>
              <w:t xml:space="preserve">argeting </w:t>
            </w:r>
          </w:p>
        </w:tc>
        <w:tc>
          <w:tcPr>
            <w:tcW w:w="4425" w:type="dxa"/>
          </w:tcPr>
          <w:p w14:paraId="3212E2C7" w14:textId="7BE3BAC5" w:rsidR="00F516D4" w:rsidRPr="006B28E3" w:rsidRDefault="00F516D4" w:rsidP="00C87A90">
            <w:pPr>
              <w:cnfStyle w:val="000000000000" w:firstRow="0" w:lastRow="0" w:firstColumn="0" w:lastColumn="0" w:oddVBand="0" w:evenVBand="0" w:oddHBand="0" w:evenHBand="0" w:firstRowFirstColumn="0" w:firstRowLastColumn="0" w:lastRowFirstColumn="0" w:lastRowLastColumn="0"/>
              <w:rPr>
                <w:sz w:val="20"/>
                <w:szCs w:val="20"/>
              </w:rPr>
            </w:pPr>
            <w:r w:rsidRPr="006B28E3">
              <w:rPr>
                <w:sz w:val="20"/>
                <w:szCs w:val="20"/>
              </w:rPr>
              <w:t>Geo</w:t>
            </w:r>
            <w:r w:rsidR="00A22A3E">
              <w:rPr>
                <w:sz w:val="20"/>
                <w:szCs w:val="20"/>
              </w:rPr>
              <w:t>t</w:t>
            </w:r>
            <w:r w:rsidRPr="006B28E3">
              <w:rPr>
                <w:sz w:val="20"/>
                <w:szCs w:val="20"/>
              </w:rPr>
              <w:t xml:space="preserve">argeting energy efficiency and demand response programs trending nationwide to address issues of: T&amp;D congestion, energy equality, and capacity shortages. Some utilities are already doing some geotargeting in their territories, specific examples are reaching rural territories. </w:t>
            </w:r>
          </w:p>
        </w:tc>
        <w:tc>
          <w:tcPr>
            <w:tcW w:w="3780" w:type="dxa"/>
          </w:tcPr>
          <w:p w14:paraId="1992BC78" w14:textId="77777777" w:rsidR="00F516D4" w:rsidRPr="006B28E3" w:rsidRDefault="00F516D4" w:rsidP="00C87A90">
            <w:pPr>
              <w:cnfStyle w:val="000000000000" w:firstRow="0" w:lastRow="0" w:firstColumn="0" w:lastColumn="0" w:oddVBand="0" w:evenVBand="0" w:oddHBand="0" w:evenHBand="0" w:firstRowFirstColumn="0" w:firstRowLastColumn="0" w:lastRowFirstColumn="0" w:lastRowLastColumn="0"/>
              <w:rPr>
                <w:sz w:val="20"/>
                <w:szCs w:val="20"/>
              </w:rPr>
            </w:pPr>
            <w:r w:rsidRPr="006B28E3">
              <w:rPr>
                <w:b/>
                <w:bCs/>
                <w:sz w:val="20"/>
                <w:szCs w:val="20"/>
              </w:rPr>
              <w:t>Medium Priority:</w:t>
            </w:r>
            <w:r w:rsidRPr="006B28E3">
              <w:rPr>
                <w:sz w:val="20"/>
                <w:szCs w:val="20"/>
              </w:rPr>
              <w:t xml:space="preserve"> Stakeholders both utility and others agree that Geo Targeting is worthwhile and valuable to consumers and the Texas grid. Many agree they are already using these methods and are looking to advance them. </w:t>
            </w:r>
          </w:p>
        </w:tc>
      </w:tr>
      <w:tr w:rsidR="00F516D4" w:rsidRPr="006B28E3" w14:paraId="2552A38D" w14:textId="77777777" w:rsidTr="0041445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70" w:type="dxa"/>
          </w:tcPr>
          <w:p w14:paraId="323BDBAD" w14:textId="71975A2C" w:rsidR="00F516D4" w:rsidRPr="006B28E3" w:rsidRDefault="00F516D4" w:rsidP="00C87A90">
            <w:pPr>
              <w:rPr>
                <w:sz w:val="20"/>
                <w:szCs w:val="20"/>
              </w:rPr>
            </w:pPr>
            <w:r w:rsidRPr="006B28E3">
              <w:rPr>
                <w:sz w:val="20"/>
                <w:szCs w:val="20"/>
              </w:rPr>
              <w:t xml:space="preserve">Calculation of </w:t>
            </w:r>
            <w:r w:rsidR="00414455" w:rsidRPr="006B28E3">
              <w:rPr>
                <w:sz w:val="20"/>
                <w:szCs w:val="20"/>
              </w:rPr>
              <w:t>goals</w:t>
            </w:r>
          </w:p>
        </w:tc>
        <w:tc>
          <w:tcPr>
            <w:tcW w:w="4425" w:type="dxa"/>
          </w:tcPr>
          <w:p w14:paraId="3D67401C" w14:textId="3E30135C" w:rsidR="00F516D4" w:rsidRPr="006B28E3"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6B28E3">
              <w:rPr>
                <w:sz w:val="20"/>
                <w:szCs w:val="20"/>
              </w:rPr>
              <w:t xml:space="preserve">Currently goals are calculated using the past five-year average load growth </w:t>
            </w:r>
            <w:r w:rsidR="00A26241">
              <w:rPr>
                <w:sz w:val="20"/>
                <w:szCs w:val="20"/>
              </w:rPr>
              <w:t xml:space="preserve">or the </w:t>
            </w:r>
            <w:r w:rsidR="00263578">
              <w:rPr>
                <w:sz w:val="20"/>
                <w:szCs w:val="20"/>
              </w:rPr>
              <w:t>five-year</w:t>
            </w:r>
            <w:r w:rsidR="00A26241">
              <w:rPr>
                <w:sz w:val="20"/>
                <w:szCs w:val="20"/>
              </w:rPr>
              <w:t xml:space="preserve"> average peak </w:t>
            </w:r>
            <w:r w:rsidRPr="006B28E3">
              <w:rPr>
                <w:sz w:val="20"/>
                <w:szCs w:val="20"/>
              </w:rPr>
              <w:t>to calculate kW Peak Demand goal.</w:t>
            </w:r>
            <w:r w:rsidR="00A26241">
              <w:rPr>
                <w:sz w:val="20"/>
                <w:szCs w:val="20"/>
              </w:rPr>
              <w:t xml:space="preserve"> 16 TAC §25.181</w:t>
            </w:r>
            <w:r w:rsidR="00006C7B">
              <w:rPr>
                <w:sz w:val="20"/>
                <w:szCs w:val="20"/>
              </w:rPr>
              <w:t>(e)</w:t>
            </w:r>
            <w:r w:rsidR="00641756">
              <w:rPr>
                <w:sz w:val="20"/>
                <w:szCs w:val="20"/>
              </w:rPr>
              <w:t>(1)</w:t>
            </w:r>
            <w:r w:rsidR="00006C7B">
              <w:rPr>
                <w:sz w:val="20"/>
                <w:szCs w:val="20"/>
              </w:rPr>
              <w:t>-</w:t>
            </w:r>
            <w:r w:rsidR="00641756">
              <w:rPr>
                <w:sz w:val="20"/>
                <w:szCs w:val="20"/>
              </w:rPr>
              <w:t>(</w:t>
            </w:r>
            <w:r w:rsidR="00006C7B">
              <w:rPr>
                <w:sz w:val="20"/>
                <w:szCs w:val="20"/>
              </w:rPr>
              <w:t>3</w:t>
            </w:r>
            <w:r w:rsidR="00641756">
              <w:rPr>
                <w:sz w:val="20"/>
                <w:szCs w:val="20"/>
              </w:rPr>
              <w:t>)</w:t>
            </w:r>
            <w:r w:rsidR="00006C7B">
              <w:rPr>
                <w:sz w:val="20"/>
                <w:szCs w:val="20"/>
              </w:rPr>
              <w:t>.</w:t>
            </w:r>
          </w:p>
        </w:tc>
        <w:tc>
          <w:tcPr>
            <w:tcW w:w="3780" w:type="dxa"/>
          </w:tcPr>
          <w:p w14:paraId="3D1337DB" w14:textId="77777777" w:rsidR="00F516D4" w:rsidRPr="006B28E3"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6B28E3">
              <w:rPr>
                <w:b/>
                <w:bCs/>
                <w:sz w:val="20"/>
                <w:szCs w:val="20"/>
              </w:rPr>
              <w:t>Medium Priority:</w:t>
            </w:r>
            <w:r w:rsidRPr="006B28E3">
              <w:rPr>
                <w:sz w:val="20"/>
                <w:szCs w:val="20"/>
              </w:rPr>
              <w:t xml:space="preserve"> Stakeholders seemed to agree that averaging was right. More discussion on whether the average or trending over a certain number of years was most appropriate. </w:t>
            </w:r>
          </w:p>
        </w:tc>
      </w:tr>
      <w:tr w:rsidR="00F516D4" w:rsidRPr="006B28E3" w14:paraId="6DA419E4" w14:textId="77777777" w:rsidTr="00414455">
        <w:trPr>
          <w:jc w:val="center"/>
        </w:trPr>
        <w:tc>
          <w:tcPr>
            <w:cnfStyle w:val="001000000000" w:firstRow="0" w:lastRow="0" w:firstColumn="1" w:lastColumn="0" w:oddVBand="0" w:evenVBand="0" w:oddHBand="0" w:evenHBand="0" w:firstRowFirstColumn="0" w:firstRowLastColumn="0" w:lastRowFirstColumn="0" w:lastRowLastColumn="0"/>
            <w:tcW w:w="1870" w:type="dxa"/>
          </w:tcPr>
          <w:p w14:paraId="6E592DA3" w14:textId="10AA40A6" w:rsidR="00F516D4" w:rsidRPr="006B28E3" w:rsidRDefault="00F516D4" w:rsidP="00C87A90">
            <w:pPr>
              <w:rPr>
                <w:sz w:val="20"/>
                <w:szCs w:val="20"/>
              </w:rPr>
            </w:pPr>
            <w:r w:rsidRPr="006B28E3">
              <w:rPr>
                <w:sz w:val="20"/>
                <w:szCs w:val="20"/>
              </w:rPr>
              <w:t xml:space="preserve">Priority of kW </w:t>
            </w:r>
            <w:r w:rsidR="00414455" w:rsidRPr="006B28E3">
              <w:rPr>
                <w:sz w:val="20"/>
                <w:szCs w:val="20"/>
              </w:rPr>
              <w:t>demand goal</w:t>
            </w:r>
          </w:p>
        </w:tc>
        <w:tc>
          <w:tcPr>
            <w:tcW w:w="4425" w:type="dxa"/>
          </w:tcPr>
          <w:p w14:paraId="6E38C91D" w14:textId="77777777" w:rsidR="00F516D4" w:rsidRPr="006B28E3" w:rsidRDefault="00F516D4" w:rsidP="00C87A90">
            <w:pPr>
              <w:cnfStyle w:val="000000000000" w:firstRow="0" w:lastRow="0" w:firstColumn="0" w:lastColumn="0" w:oddVBand="0" w:evenVBand="0" w:oddHBand="0" w:evenHBand="0" w:firstRowFirstColumn="0" w:firstRowLastColumn="0" w:lastRowFirstColumn="0" w:lastRowLastColumn="0"/>
              <w:rPr>
                <w:sz w:val="20"/>
                <w:szCs w:val="20"/>
              </w:rPr>
            </w:pPr>
            <w:r w:rsidRPr="006B28E3">
              <w:rPr>
                <w:sz w:val="20"/>
                <w:szCs w:val="20"/>
              </w:rPr>
              <w:t>In Texas the focus is on reduction of kW peak demand with kWh as a secondary goal set in relation to kW goal.</w:t>
            </w:r>
          </w:p>
        </w:tc>
        <w:tc>
          <w:tcPr>
            <w:tcW w:w="3780" w:type="dxa"/>
          </w:tcPr>
          <w:p w14:paraId="138843F7" w14:textId="77777777" w:rsidR="00F516D4" w:rsidRPr="006B28E3" w:rsidRDefault="00F516D4" w:rsidP="00C87A90">
            <w:pPr>
              <w:cnfStyle w:val="000000000000" w:firstRow="0" w:lastRow="0" w:firstColumn="0" w:lastColumn="0" w:oddVBand="0" w:evenVBand="0" w:oddHBand="0" w:evenHBand="0" w:firstRowFirstColumn="0" w:firstRowLastColumn="0" w:lastRowFirstColumn="0" w:lastRowLastColumn="0"/>
              <w:rPr>
                <w:sz w:val="20"/>
                <w:szCs w:val="20"/>
              </w:rPr>
            </w:pPr>
            <w:r w:rsidRPr="006B28E3">
              <w:rPr>
                <w:b/>
                <w:bCs/>
                <w:sz w:val="20"/>
                <w:szCs w:val="20"/>
              </w:rPr>
              <w:t>Low Priority:</w:t>
            </w:r>
            <w:r w:rsidRPr="006B28E3">
              <w:rPr>
                <w:sz w:val="20"/>
                <w:szCs w:val="20"/>
              </w:rPr>
              <w:t xml:space="preserve"> All stakeholders in working group indicated that the focus on peak kW brings the most value to Texas grid and consumers though it is important to deliver kWh savings, in particular to low-income and hard-to-reach sectors. There is more interest in how peak kW is calculated seasonally and setting the right goals. Many stakeholders expressed support for including a specific energy savings goal, particularly for residential consumers. </w:t>
            </w:r>
          </w:p>
        </w:tc>
      </w:tr>
    </w:tbl>
    <w:p w14:paraId="64AB4C4F" w14:textId="2981497A" w:rsidR="00F516D4" w:rsidRDefault="00F516D4" w:rsidP="00F516D4">
      <w:pPr>
        <w:rPr>
          <w:b/>
          <w:bCs/>
        </w:rPr>
      </w:pPr>
      <w:r>
        <w:t xml:space="preserve">For each identified key issue above, the following table summarizes areas of agreement, multiple perspectives expressed and changes that could be needed. </w:t>
      </w:r>
    </w:p>
    <w:tbl>
      <w:tblPr>
        <w:tblStyle w:val="GridTable4-Accent5"/>
        <w:tblW w:w="989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25"/>
        <w:gridCol w:w="1845"/>
        <w:gridCol w:w="2475"/>
        <w:gridCol w:w="2340"/>
        <w:gridCol w:w="1710"/>
      </w:tblGrid>
      <w:tr w:rsidR="00F516D4" w:rsidRPr="00BD35CB" w14:paraId="74E57620" w14:textId="77777777" w:rsidTr="000E38E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5" w:type="dxa"/>
            <w:tcBorders>
              <w:top w:val="none" w:sz="0" w:space="0" w:color="auto"/>
              <w:left w:val="none" w:sz="0" w:space="0" w:color="auto"/>
              <w:bottom w:val="none" w:sz="0" w:space="0" w:color="auto"/>
              <w:right w:val="none" w:sz="0" w:space="0" w:color="auto"/>
            </w:tcBorders>
            <w:shd w:val="clear" w:color="auto" w:fill="25408F"/>
            <w:vAlign w:val="bottom"/>
          </w:tcPr>
          <w:p w14:paraId="1A9B6DE2" w14:textId="1302754B" w:rsidR="00F516D4" w:rsidRPr="00BD35CB" w:rsidRDefault="00F516D4" w:rsidP="00414455">
            <w:pPr>
              <w:pStyle w:val="TT-TableHeading"/>
              <w:rPr>
                <w:bCs/>
              </w:rPr>
            </w:pPr>
            <w:bookmarkStart w:id="0" w:name="_Hlk130568972"/>
            <w:r w:rsidRPr="00BD35CB">
              <w:t xml:space="preserve">Key </w:t>
            </w:r>
            <w:r w:rsidR="00414455">
              <w:t>is</w:t>
            </w:r>
            <w:r w:rsidRPr="00BD35CB">
              <w:t>sue</w:t>
            </w:r>
          </w:p>
        </w:tc>
        <w:tc>
          <w:tcPr>
            <w:tcW w:w="1845" w:type="dxa"/>
            <w:tcBorders>
              <w:top w:val="none" w:sz="0" w:space="0" w:color="auto"/>
              <w:left w:val="none" w:sz="0" w:space="0" w:color="auto"/>
              <w:bottom w:val="none" w:sz="0" w:space="0" w:color="auto"/>
              <w:right w:val="none" w:sz="0" w:space="0" w:color="auto"/>
            </w:tcBorders>
            <w:shd w:val="clear" w:color="auto" w:fill="25408F"/>
            <w:vAlign w:val="bottom"/>
          </w:tcPr>
          <w:p w14:paraId="57D34241" w14:textId="0A4AC68E" w:rsidR="00F516D4" w:rsidRPr="00BD35CB" w:rsidRDefault="00F516D4" w:rsidP="00414455">
            <w:pPr>
              <w:pStyle w:val="TT-TableHeading"/>
              <w:cnfStyle w:val="100000000000" w:firstRow="1" w:lastRow="0" w:firstColumn="0" w:lastColumn="0" w:oddVBand="0" w:evenVBand="0" w:oddHBand="0" w:evenHBand="0" w:firstRowFirstColumn="0" w:firstRowLastColumn="0" w:lastRowFirstColumn="0" w:lastRowLastColumn="0"/>
              <w:rPr>
                <w:bCs/>
              </w:rPr>
            </w:pPr>
            <w:r w:rsidRPr="00BD35CB">
              <w:t xml:space="preserve">Areas of </w:t>
            </w:r>
            <w:r w:rsidR="00414455">
              <w:t>a</w:t>
            </w:r>
            <w:r w:rsidRPr="00BD35CB">
              <w:t>greement</w:t>
            </w:r>
          </w:p>
        </w:tc>
        <w:tc>
          <w:tcPr>
            <w:tcW w:w="2475" w:type="dxa"/>
            <w:tcBorders>
              <w:top w:val="none" w:sz="0" w:space="0" w:color="auto"/>
              <w:left w:val="none" w:sz="0" w:space="0" w:color="auto"/>
              <w:bottom w:val="none" w:sz="0" w:space="0" w:color="auto"/>
              <w:right w:val="none" w:sz="0" w:space="0" w:color="auto"/>
            </w:tcBorders>
            <w:shd w:val="clear" w:color="auto" w:fill="25408F"/>
            <w:vAlign w:val="bottom"/>
          </w:tcPr>
          <w:p w14:paraId="5EA19892" w14:textId="0236F763" w:rsidR="00F516D4" w:rsidRPr="00BD35CB" w:rsidRDefault="00F516D4" w:rsidP="00414455">
            <w:pPr>
              <w:pStyle w:val="TT-TableHeading"/>
              <w:cnfStyle w:val="100000000000" w:firstRow="1" w:lastRow="0" w:firstColumn="0" w:lastColumn="0" w:oddVBand="0" w:evenVBand="0" w:oddHBand="0" w:evenHBand="0" w:firstRowFirstColumn="0" w:firstRowLastColumn="0" w:lastRowFirstColumn="0" w:lastRowLastColumn="0"/>
              <w:rPr>
                <w:bCs/>
              </w:rPr>
            </w:pPr>
            <w:r w:rsidRPr="00BD35CB">
              <w:t xml:space="preserve">Areas of </w:t>
            </w:r>
            <w:r w:rsidR="00414455">
              <w:t>d</w:t>
            </w:r>
            <w:r w:rsidRPr="00BD35CB">
              <w:t>ebate</w:t>
            </w:r>
          </w:p>
        </w:tc>
        <w:tc>
          <w:tcPr>
            <w:tcW w:w="2340" w:type="dxa"/>
            <w:tcBorders>
              <w:top w:val="none" w:sz="0" w:space="0" w:color="auto"/>
              <w:left w:val="none" w:sz="0" w:space="0" w:color="auto"/>
              <w:bottom w:val="none" w:sz="0" w:space="0" w:color="auto"/>
              <w:right w:val="none" w:sz="0" w:space="0" w:color="auto"/>
            </w:tcBorders>
            <w:shd w:val="clear" w:color="auto" w:fill="25408F"/>
            <w:vAlign w:val="bottom"/>
          </w:tcPr>
          <w:p w14:paraId="7866F486" w14:textId="7C3334FA" w:rsidR="00F516D4" w:rsidRPr="00BD35CB" w:rsidRDefault="00F516D4" w:rsidP="00414455">
            <w:pPr>
              <w:pStyle w:val="TT-TableHeading"/>
              <w:cnfStyle w:val="100000000000" w:firstRow="1" w:lastRow="0" w:firstColumn="0" w:lastColumn="0" w:oddVBand="0" w:evenVBand="0" w:oddHBand="0" w:evenHBand="0" w:firstRowFirstColumn="0" w:firstRowLastColumn="0" w:lastRowFirstColumn="0" w:lastRowLastColumn="0"/>
              <w:rPr>
                <w:bCs/>
              </w:rPr>
            </w:pPr>
            <w:r w:rsidRPr="00BD35CB">
              <w:t xml:space="preserve">Would this require </w:t>
            </w:r>
            <w:r w:rsidR="00414455">
              <w:t>l</w:t>
            </w:r>
            <w:r w:rsidRPr="00BD35CB">
              <w:t xml:space="preserve">egislation or </w:t>
            </w:r>
            <w:r w:rsidR="00414455">
              <w:t>r</w:t>
            </w:r>
            <w:r w:rsidRPr="00BD35CB">
              <w:t xml:space="preserve">ulemaking? If so, what? </w:t>
            </w:r>
          </w:p>
        </w:tc>
        <w:tc>
          <w:tcPr>
            <w:tcW w:w="1710" w:type="dxa"/>
            <w:tcBorders>
              <w:top w:val="none" w:sz="0" w:space="0" w:color="auto"/>
              <w:left w:val="none" w:sz="0" w:space="0" w:color="auto"/>
              <w:bottom w:val="none" w:sz="0" w:space="0" w:color="auto"/>
              <w:right w:val="none" w:sz="0" w:space="0" w:color="auto"/>
            </w:tcBorders>
            <w:shd w:val="clear" w:color="auto" w:fill="25408F"/>
            <w:vAlign w:val="bottom"/>
          </w:tcPr>
          <w:p w14:paraId="20BFB091" w14:textId="77777777" w:rsidR="00F516D4" w:rsidRPr="00BD35CB" w:rsidRDefault="00F516D4" w:rsidP="00414455">
            <w:pPr>
              <w:pStyle w:val="TT-TableHeading"/>
              <w:cnfStyle w:val="100000000000" w:firstRow="1" w:lastRow="0" w:firstColumn="0" w:lastColumn="0" w:oddVBand="0" w:evenVBand="0" w:oddHBand="0" w:evenHBand="0" w:firstRowFirstColumn="0" w:firstRowLastColumn="0" w:lastRowFirstColumn="0" w:lastRowLastColumn="0"/>
            </w:pPr>
            <w:r w:rsidRPr="00BD35CB">
              <w:t>Could another process address?</w:t>
            </w:r>
          </w:p>
        </w:tc>
      </w:tr>
      <w:bookmarkEnd w:id="0"/>
      <w:tr w:rsidR="00F516D4" w:rsidRPr="00BD35CB" w14:paraId="3AB59F75" w14:textId="77777777" w:rsidTr="000E38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5" w:type="dxa"/>
          </w:tcPr>
          <w:p w14:paraId="21F1A675" w14:textId="1210F706" w:rsidR="00F516D4" w:rsidRPr="00BD35CB" w:rsidRDefault="00F516D4" w:rsidP="00414455">
            <w:pPr>
              <w:rPr>
                <w:sz w:val="20"/>
                <w:szCs w:val="20"/>
              </w:rPr>
            </w:pPr>
            <w:r w:rsidRPr="00BD35CB">
              <w:rPr>
                <w:sz w:val="20"/>
                <w:szCs w:val="20"/>
              </w:rPr>
              <w:t xml:space="preserve">Level of </w:t>
            </w:r>
            <w:r w:rsidR="00414455" w:rsidRPr="00BD35CB">
              <w:rPr>
                <w:sz w:val="20"/>
                <w:szCs w:val="20"/>
              </w:rPr>
              <w:t xml:space="preserve">goals  </w:t>
            </w:r>
          </w:p>
        </w:tc>
        <w:tc>
          <w:tcPr>
            <w:tcW w:w="1845" w:type="dxa"/>
          </w:tcPr>
          <w:p w14:paraId="4E8BA1A8" w14:textId="3F683A1E"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Need to understand where Load Management Programs</w:t>
            </w:r>
            <w:r w:rsidR="00A21CAA">
              <w:rPr>
                <w:rStyle w:val="FootnoteReference"/>
                <w:sz w:val="20"/>
                <w:szCs w:val="20"/>
              </w:rPr>
              <w:footnoteReference w:id="3"/>
            </w:r>
            <w:r w:rsidR="00A21CAA" w:rsidRPr="00BD35CB">
              <w:rPr>
                <w:sz w:val="20"/>
                <w:szCs w:val="20"/>
              </w:rPr>
              <w:t xml:space="preserve"> </w:t>
            </w:r>
            <w:r w:rsidRPr="00BD35CB">
              <w:rPr>
                <w:sz w:val="20"/>
                <w:szCs w:val="20"/>
              </w:rPr>
              <w:t xml:space="preserve"> will reside</w:t>
            </w:r>
            <w:r w:rsidR="00A21CAA">
              <w:rPr>
                <w:sz w:val="20"/>
                <w:szCs w:val="20"/>
              </w:rPr>
              <w:t xml:space="preserve"> </w:t>
            </w:r>
            <w:r w:rsidRPr="00BD35CB">
              <w:rPr>
                <w:sz w:val="20"/>
                <w:szCs w:val="20"/>
              </w:rPr>
              <w:t xml:space="preserve">and be “claimed” to determine feasible kW goals </w:t>
            </w:r>
          </w:p>
        </w:tc>
        <w:tc>
          <w:tcPr>
            <w:tcW w:w="2475" w:type="dxa"/>
          </w:tcPr>
          <w:p w14:paraId="5DC58AFD" w14:textId="43D28C8F"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 xml:space="preserve">Perspective 1: Goals are set too low – Need to set </w:t>
            </w:r>
            <w:r w:rsidR="00E4251E">
              <w:rPr>
                <w:sz w:val="20"/>
                <w:szCs w:val="20"/>
              </w:rPr>
              <w:t>“</w:t>
            </w:r>
            <w:r w:rsidRPr="00BD35CB">
              <w:rPr>
                <w:sz w:val="20"/>
                <w:szCs w:val="20"/>
              </w:rPr>
              <w:t>stretch goals</w:t>
            </w:r>
            <w:r w:rsidR="00E4251E">
              <w:rPr>
                <w:sz w:val="20"/>
                <w:szCs w:val="20"/>
              </w:rPr>
              <w:t>”</w:t>
            </w:r>
            <w:r w:rsidR="0032339D">
              <w:rPr>
                <w:rStyle w:val="FootnoteReference"/>
                <w:sz w:val="20"/>
                <w:szCs w:val="20"/>
              </w:rPr>
              <w:footnoteReference w:id="4"/>
            </w:r>
            <w:r w:rsidRPr="00BD35CB">
              <w:rPr>
                <w:sz w:val="20"/>
                <w:szCs w:val="20"/>
              </w:rPr>
              <w:t xml:space="preserve"> to foster innovation.</w:t>
            </w:r>
          </w:p>
          <w:p w14:paraId="72C70593"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Perspective 2: With rising baselines due to codes and standard changes and load growth, current goals are stretch goals.</w:t>
            </w:r>
          </w:p>
          <w:p w14:paraId="6FB39CE2"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Perspective 3: Need to consider measure cost effectiveness when setting goals – with code changes, measures will be more expensive with less savings.</w:t>
            </w:r>
          </w:p>
          <w:p w14:paraId="2116D1BD"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 xml:space="preserve">Perspective 4: There are more benefits to rate payers due to grid reliability and resiliency with increased goals whether they participate or not. </w:t>
            </w:r>
          </w:p>
        </w:tc>
        <w:tc>
          <w:tcPr>
            <w:tcW w:w="2340" w:type="dxa"/>
          </w:tcPr>
          <w:p w14:paraId="03790B57" w14:textId="657B19E9" w:rsidR="00F516D4" w:rsidRPr="004A570A" w:rsidRDefault="00F516D4" w:rsidP="00C87A90">
            <w:pPr>
              <w:cnfStyle w:val="000000100000" w:firstRow="0" w:lastRow="0" w:firstColumn="0" w:lastColumn="0" w:oddVBand="0" w:evenVBand="0" w:oddHBand="1" w:evenHBand="0" w:firstRowFirstColumn="0" w:firstRowLastColumn="0" w:lastRowFirstColumn="0" w:lastRowLastColumn="0"/>
              <w:rPr>
                <w:sz w:val="20"/>
                <w:szCs w:val="20"/>
                <w:lang w:val="es-MX"/>
              </w:rPr>
            </w:pPr>
            <w:r w:rsidRPr="004A570A">
              <w:rPr>
                <w:sz w:val="20"/>
                <w:szCs w:val="20"/>
                <w:lang w:val="es-MX"/>
              </w:rPr>
              <w:t xml:space="preserve">Yes, </w:t>
            </w:r>
            <w:r w:rsidR="004A570A" w:rsidRPr="004A570A">
              <w:rPr>
                <w:sz w:val="20"/>
                <w:szCs w:val="20"/>
                <w:lang w:val="es-MX"/>
              </w:rPr>
              <w:t>16 TAC §25.181</w:t>
            </w:r>
            <w:r w:rsidRPr="004A570A">
              <w:rPr>
                <w:sz w:val="20"/>
                <w:szCs w:val="20"/>
                <w:lang w:val="es-MX"/>
              </w:rPr>
              <w:t>(e)(1)(A)(B)(C)(D)</w:t>
            </w:r>
          </w:p>
          <w:p w14:paraId="55B4CD9D"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 xml:space="preserve">Since 2013, “floor”* of 30% of demand growth or 4/10 of 1% of summer peak. Larger utilities are tracking to 4/10 of 1% summer peak and others are tracking at 30% of demand growth. </w:t>
            </w:r>
          </w:p>
          <w:p w14:paraId="1440E50B" w14:textId="70EB75AA"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 xml:space="preserve">*floor=a program year’s goals </w:t>
            </w:r>
            <w:r w:rsidR="00263578" w:rsidRPr="00BD35CB">
              <w:rPr>
                <w:sz w:val="20"/>
                <w:szCs w:val="20"/>
              </w:rPr>
              <w:t>cannot</w:t>
            </w:r>
            <w:r w:rsidRPr="00BD35CB">
              <w:rPr>
                <w:sz w:val="20"/>
                <w:szCs w:val="20"/>
              </w:rPr>
              <w:t xml:space="preserve"> be lower than previous years  </w:t>
            </w:r>
          </w:p>
        </w:tc>
        <w:tc>
          <w:tcPr>
            <w:tcW w:w="1710" w:type="dxa"/>
          </w:tcPr>
          <w:p w14:paraId="189F84C8"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p>
        </w:tc>
      </w:tr>
      <w:tr w:rsidR="00414455" w:rsidRPr="00BD35CB" w14:paraId="22CC261B" w14:textId="77777777" w:rsidTr="000E38EF">
        <w:trPr>
          <w:jc w:val="center"/>
        </w:trPr>
        <w:tc>
          <w:tcPr>
            <w:cnfStyle w:val="001000000000" w:firstRow="0" w:lastRow="0" w:firstColumn="1" w:lastColumn="0" w:oddVBand="0" w:evenVBand="0" w:oddHBand="0" w:evenHBand="0" w:firstRowFirstColumn="0" w:firstRowLastColumn="0" w:lastRowFirstColumn="0" w:lastRowLastColumn="0"/>
            <w:tcW w:w="1525" w:type="dxa"/>
            <w:shd w:val="clear" w:color="auto" w:fill="25408F"/>
            <w:vAlign w:val="bottom"/>
          </w:tcPr>
          <w:p w14:paraId="611B4D08" w14:textId="0BCC647D" w:rsidR="00414455" w:rsidRPr="00BD35CB" w:rsidRDefault="00414455" w:rsidP="00414455">
            <w:pPr>
              <w:pStyle w:val="TT-TableHeading"/>
              <w:keepNext/>
              <w:keepLines/>
            </w:pPr>
            <w:bookmarkStart w:id="1" w:name="_Hlk130751982"/>
            <w:r w:rsidRPr="00414455">
              <w:t>Key issue</w:t>
            </w:r>
          </w:p>
        </w:tc>
        <w:tc>
          <w:tcPr>
            <w:tcW w:w="1845" w:type="dxa"/>
            <w:shd w:val="clear" w:color="auto" w:fill="25408F"/>
            <w:vAlign w:val="bottom"/>
          </w:tcPr>
          <w:p w14:paraId="6F670644" w14:textId="64171D53" w:rsidR="00414455" w:rsidRPr="00BD35CB" w:rsidRDefault="00414455" w:rsidP="00414455">
            <w:pPr>
              <w:pStyle w:val="TT-TableHeading"/>
              <w:keepNext/>
              <w:keepLines/>
              <w:cnfStyle w:val="000000000000" w:firstRow="0" w:lastRow="0" w:firstColumn="0" w:lastColumn="0" w:oddVBand="0" w:evenVBand="0" w:oddHBand="0" w:evenHBand="0" w:firstRowFirstColumn="0" w:firstRowLastColumn="0" w:lastRowFirstColumn="0" w:lastRowLastColumn="0"/>
            </w:pPr>
            <w:r w:rsidRPr="00414455">
              <w:rPr>
                <w:bCs w:val="0"/>
              </w:rPr>
              <w:t>Areas of agreement</w:t>
            </w:r>
          </w:p>
        </w:tc>
        <w:tc>
          <w:tcPr>
            <w:tcW w:w="2475" w:type="dxa"/>
            <w:shd w:val="clear" w:color="auto" w:fill="25408F"/>
            <w:vAlign w:val="bottom"/>
          </w:tcPr>
          <w:p w14:paraId="5E686127" w14:textId="03366D5B" w:rsidR="00414455" w:rsidRPr="00BD35CB" w:rsidRDefault="00414455" w:rsidP="00414455">
            <w:pPr>
              <w:pStyle w:val="TT-TableHeading"/>
              <w:keepNext/>
              <w:keepLines/>
              <w:cnfStyle w:val="000000000000" w:firstRow="0" w:lastRow="0" w:firstColumn="0" w:lastColumn="0" w:oddVBand="0" w:evenVBand="0" w:oddHBand="0" w:evenHBand="0" w:firstRowFirstColumn="0" w:firstRowLastColumn="0" w:lastRowFirstColumn="0" w:lastRowLastColumn="0"/>
            </w:pPr>
            <w:r w:rsidRPr="00414455">
              <w:rPr>
                <w:bCs w:val="0"/>
              </w:rPr>
              <w:t>Areas of debate</w:t>
            </w:r>
          </w:p>
        </w:tc>
        <w:tc>
          <w:tcPr>
            <w:tcW w:w="2340" w:type="dxa"/>
            <w:shd w:val="clear" w:color="auto" w:fill="25408F"/>
            <w:vAlign w:val="bottom"/>
          </w:tcPr>
          <w:p w14:paraId="6563F825" w14:textId="63A56CB3" w:rsidR="00414455" w:rsidRPr="00BD35CB" w:rsidRDefault="00414455" w:rsidP="00414455">
            <w:pPr>
              <w:pStyle w:val="TT-TableHeading"/>
              <w:keepNext/>
              <w:keepLines/>
              <w:cnfStyle w:val="000000000000" w:firstRow="0" w:lastRow="0" w:firstColumn="0" w:lastColumn="0" w:oddVBand="0" w:evenVBand="0" w:oddHBand="0" w:evenHBand="0" w:firstRowFirstColumn="0" w:firstRowLastColumn="0" w:lastRowFirstColumn="0" w:lastRowLastColumn="0"/>
            </w:pPr>
            <w:r w:rsidRPr="00414455">
              <w:rPr>
                <w:bCs w:val="0"/>
              </w:rPr>
              <w:t xml:space="preserve">Would this require legislation or rulemaking? If so, what? </w:t>
            </w:r>
          </w:p>
        </w:tc>
        <w:tc>
          <w:tcPr>
            <w:tcW w:w="1710" w:type="dxa"/>
            <w:shd w:val="clear" w:color="auto" w:fill="25408F"/>
            <w:vAlign w:val="bottom"/>
          </w:tcPr>
          <w:p w14:paraId="4733A19F" w14:textId="32F82FAD" w:rsidR="00414455" w:rsidRPr="00BD35CB" w:rsidRDefault="00414455" w:rsidP="00414455">
            <w:pPr>
              <w:pStyle w:val="TT-TableHeading"/>
              <w:keepNext/>
              <w:keepLines/>
              <w:cnfStyle w:val="000000000000" w:firstRow="0" w:lastRow="0" w:firstColumn="0" w:lastColumn="0" w:oddVBand="0" w:evenVBand="0" w:oddHBand="0" w:evenHBand="0" w:firstRowFirstColumn="0" w:firstRowLastColumn="0" w:lastRowFirstColumn="0" w:lastRowLastColumn="0"/>
            </w:pPr>
            <w:r w:rsidRPr="00414455">
              <w:t>Could another process address?</w:t>
            </w:r>
          </w:p>
        </w:tc>
      </w:tr>
      <w:bookmarkEnd w:id="1"/>
      <w:tr w:rsidR="00F516D4" w:rsidRPr="00BD35CB" w14:paraId="700C33E0" w14:textId="77777777" w:rsidTr="007E667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5" w:type="dxa"/>
            <w:shd w:val="clear" w:color="auto" w:fill="auto"/>
          </w:tcPr>
          <w:p w14:paraId="64B32B2F" w14:textId="12137BE7" w:rsidR="00F516D4" w:rsidRPr="00BD35CB" w:rsidRDefault="00F516D4" w:rsidP="00C87A90">
            <w:pPr>
              <w:rPr>
                <w:sz w:val="20"/>
                <w:szCs w:val="20"/>
              </w:rPr>
            </w:pPr>
            <w:r w:rsidRPr="00BD35CB">
              <w:rPr>
                <w:sz w:val="20"/>
                <w:szCs w:val="20"/>
              </w:rPr>
              <w:t xml:space="preserve">Peak kW </w:t>
            </w:r>
            <w:r w:rsidR="00414455" w:rsidRPr="00BD35CB">
              <w:rPr>
                <w:sz w:val="20"/>
                <w:szCs w:val="20"/>
              </w:rPr>
              <w:t>definition</w:t>
            </w:r>
          </w:p>
        </w:tc>
        <w:tc>
          <w:tcPr>
            <w:tcW w:w="1845" w:type="dxa"/>
            <w:shd w:val="clear" w:color="auto" w:fill="auto"/>
          </w:tcPr>
          <w:p w14:paraId="488CA88E"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Understanding where load management programs will be “claimed” is crucial to the conversation.</w:t>
            </w:r>
          </w:p>
          <w:p w14:paraId="572B1A70"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p>
          <w:p w14:paraId="2BA22623"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Winter and Summer Peak both provide intrinsic value.</w:t>
            </w:r>
          </w:p>
        </w:tc>
        <w:tc>
          <w:tcPr>
            <w:tcW w:w="2475" w:type="dxa"/>
            <w:shd w:val="clear" w:color="auto" w:fill="auto"/>
          </w:tcPr>
          <w:p w14:paraId="069DD254"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Perspective 1: Would like to define energy efficiency kW separately from demand response kW.</w:t>
            </w:r>
          </w:p>
          <w:p w14:paraId="16B3B9E4" w14:textId="739E97E6"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 xml:space="preserve">Perspective 2: There are program costs savings with program administration synergies to running EE and DR programs together. If </w:t>
            </w:r>
            <w:r w:rsidR="00263578" w:rsidRPr="00BD35CB">
              <w:rPr>
                <w:sz w:val="20"/>
                <w:szCs w:val="20"/>
              </w:rPr>
              <w:t>siloed</w:t>
            </w:r>
            <w:r w:rsidRPr="00BD35CB">
              <w:rPr>
                <w:sz w:val="20"/>
                <w:szCs w:val="20"/>
              </w:rPr>
              <w:t xml:space="preserve"> opportunities and innovation may be hindered.</w:t>
            </w:r>
          </w:p>
          <w:p w14:paraId="7A2064DE"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Perspective 3: Defining the value of a kW (annual, winter, summer, additive) is important and needs to be considered.</w:t>
            </w:r>
          </w:p>
        </w:tc>
        <w:tc>
          <w:tcPr>
            <w:tcW w:w="2340" w:type="dxa"/>
            <w:shd w:val="clear" w:color="auto" w:fill="auto"/>
          </w:tcPr>
          <w:p w14:paraId="47CA879E" w14:textId="4D5BE5CA"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 xml:space="preserve">Yes, </w:t>
            </w:r>
            <w:r w:rsidR="004A570A">
              <w:rPr>
                <w:sz w:val="20"/>
                <w:szCs w:val="20"/>
              </w:rPr>
              <w:t>16 TAC §25.181</w:t>
            </w:r>
            <w:r w:rsidRPr="00BD35CB">
              <w:rPr>
                <w:sz w:val="20"/>
                <w:szCs w:val="20"/>
              </w:rPr>
              <w:t>(c)(44)(45)(46) and (e)(3)(G)</w:t>
            </w:r>
          </w:p>
          <w:p w14:paraId="55185819" w14:textId="73893DE6"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Changing definition will impact: Peak Demand</w:t>
            </w:r>
            <w:r w:rsidR="00BD35CB" w:rsidRPr="00BD35CB">
              <w:rPr>
                <w:sz w:val="20"/>
                <w:szCs w:val="20"/>
              </w:rPr>
              <w:t xml:space="preserve">, </w:t>
            </w:r>
            <w:r w:rsidRPr="00BD35CB">
              <w:rPr>
                <w:sz w:val="20"/>
                <w:szCs w:val="20"/>
              </w:rPr>
              <w:t>Peak Demand Reduction</w:t>
            </w:r>
            <w:r w:rsidR="00BD35CB" w:rsidRPr="00BD35CB">
              <w:rPr>
                <w:sz w:val="20"/>
                <w:szCs w:val="20"/>
              </w:rPr>
              <w:t xml:space="preserve">, </w:t>
            </w:r>
            <w:r w:rsidRPr="00BD35CB">
              <w:rPr>
                <w:sz w:val="20"/>
                <w:szCs w:val="20"/>
              </w:rPr>
              <w:t xml:space="preserve">Peak Period </w:t>
            </w:r>
          </w:p>
          <w:p w14:paraId="21F89C16"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definitions.</w:t>
            </w:r>
          </w:p>
        </w:tc>
        <w:tc>
          <w:tcPr>
            <w:tcW w:w="1710" w:type="dxa"/>
            <w:vMerge w:val="restart"/>
            <w:shd w:val="clear" w:color="auto" w:fill="auto"/>
          </w:tcPr>
          <w:p w14:paraId="5988CC23"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Complexity of achieving different goals was discussed and a possible solution may be reporting, performance metrics or “stretch goals”. One discussed  example was to leave one peak kW goal, but track and report both summer and winter peak contributions or limit percent of load management in peak kW goal. This applied and was discussed across each definition,  claiming/valuing savings and geotargeting issues.</w:t>
            </w:r>
          </w:p>
        </w:tc>
      </w:tr>
      <w:tr w:rsidR="00414455" w:rsidRPr="00BD35CB" w14:paraId="1CA1CF1E" w14:textId="77777777" w:rsidTr="000E38EF">
        <w:trPr>
          <w:jc w:val="center"/>
        </w:trPr>
        <w:tc>
          <w:tcPr>
            <w:cnfStyle w:val="001000000000" w:firstRow="0" w:lastRow="0" w:firstColumn="1" w:lastColumn="0" w:oddVBand="0" w:evenVBand="0" w:oddHBand="0" w:evenHBand="0" w:firstRowFirstColumn="0" w:firstRowLastColumn="0" w:lastRowFirstColumn="0" w:lastRowLastColumn="0"/>
            <w:tcW w:w="1525" w:type="dxa"/>
            <w:shd w:val="clear" w:color="auto" w:fill="25408F"/>
            <w:vAlign w:val="bottom"/>
          </w:tcPr>
          <w:p w14:paraId="7AFEA063" w14:textId="020CA1A0" w:rsidR="00414455" w:rsidRPr="00414455" w:rsidRDefault="00414455" w:rsidP="00414455">
            <w:pPr>
              <w:pStyle w:val="TT-TableHeading"/>
            </w:pPr>
            <w:r w:rsidRPr="00414455">
              <w:t>Key issue</w:t>
            </w:r>
          </w:p>
        </w:tc>
        <w:tc>
          <w:tcPr>
            <w:tcW w:w="1845" w:type="dxa"/>
            <w:shd w:val="clear" w:color="auto" w:fill="25408F"/>
            <w:vAlign w:val="bottom"/>
          </w:tcPr>
          <w:p w14:paraId="155BE53C" w14:textId="39A11FD0" w:rsidR="00414455" w:rsidRPr="00414455" w:rsidRDefault="00414455" w:rsidP="00414455">
            <w:pPr>
              <w:pStyle w:val="TT-TableHeading"/>
              <w:cnfStyle w:val="000000000000" w:firstRow="0" w:lastRow="0" w:firstColumn="0" w:lastColumn="0" w:oddVBand="0" w:evenVBand="0" w:oddHBand="0" w:evenHBand="0" w:firstRowFirstColumn="0" w:firstRowLastColumn="0" w:lastRowFirstColumn="0" w:lastRowLastColumn="0"/>
            </w:pPr>
            <w:r w:rsidRPr="00414455">
              <w:t>Areas of agreement</w:t>
            </w:r>
          </w:p>
        </w:tc>
        <w:tc>
          <w:tcPr>
            <w:tcW w:w="2475" w:type="dxa"/>
            <w:shd w:val="clear" w:color="auto" w:fill="25408F"/>
            <w:vAlign w:val="bottom"/>
          </w:tcPr>
          <w:p w14:paraId="0175FE9A" w14:textId="754E513C" w:rsidR="00414455" w:rsidRPr="00414455" w:rsidRDefault="00414455" w:rsidP="00414455">
            <w:pPr>
              <w:pStyle w:val="TT-TableHeading"/>
              <w:cnfStyle w:val="000000000000" w:firstRow="0" w:lastRow="0" w:firstColumn="0" w:lastColumn="0" w:oddVBand="0" w:evenVBand="0" w:oddHBand="0" w:evenHBand="0" w:firstRowFirstColumn="0" w:firstRowLastColumn="0" w:lastRowFirstColumn="0" w:lastRowLastColumn="0"/>
            </w:pPr>
            <w:r w:rsidRPr="00414455">
              <w:t>Areas of debate</w:t>
            </w:r>
          </w:p>
        </w:tc>
        <w:tc>
          <w:tcPr>
            <w:tcW w:w="2340" w:type="dxa"/>
            <w:shd w:val="clear" w:color="auto" w:fill="25408F"/>
            <w:vAlign w:val="bottom"/>
          </w:tcPr>
          <w:p w14:paraId="26B4F838" w14:textId="588F6BD2" w:rsidR="00414455" w:rsidRPr="00414455" w:rsidRDefault="00414455" w:rsidP="00414455">
            <w:pPr>
              <w:pStyle w:val="TT-TableHeading"/>
              <w:cnfStyle w:val="000000000000" w:firstRow="0" w:lastRow="0" w:firstColumn="0" w:lastColumn="0" w:oddVBand="0" w:evenVBand="0" w:oddHBand="0" w:evenHBand="0" w:firstRowFirstColumn="0" w:firstRowLastColumn="0" w:lastRowFirstColumn="0" w:lastRowLastColumn="0"/>
            </w:pPr>
            <w:r w:rsidRPr="00414455">
              <w:t xml:space="preserve">Would this require legislation or rulemaking? If so, what? </w:t>
            </w:r>
          </w:p>
        </w:tc>
        <w:tc>
          <w:tcPr>
            <w:tcW w:w="1710" w:type="dxa"/>
            <w:vMerge/>
          </w:tcPr>
          <w:p w14:paraId="07A33E83" w14:textId="77777777" w:rsidR="00414455" w:rsidRPr="00BD35CB" w:rsidRDefault="00414455" w:rsidP="00414455">
            <w:pPr>
              <w:cnfStyle w:val="000000000000" w:firstRow="0" w:lastRow="0" w:firstColumn="0" w:lastColumn="0" w:oddVBand="0" w:evenVBand="0" w:oddHBand="0" w:evenHBand="0" w:firstRowFirstColumn="0" w:firstRowLastColumn="0" w:lastRowFirstColumn="0" w:lastRowLastColumn="0"/>
              <w:rPr>
                <w:sz w:val="20"/>
              </w:rPr>
            </w:pPr>
          </w:p>
        </w:tc>
      </w:tr>
      <w:tr w:rsidR="000E38EF" w:rsidRPr="00BD35CB" w14:paraId="2DA5D6B3" w14:textId="77777777" w:rsidTr="007E667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5" w:type="dxa"/>
          </w:tcPr>
          <w:p w14:paraId="1F2F1E6D" w14:textId="1B4205C3" w:rsidR="00F516D4" w:rsidRPr="00BD35CB" w:rsidRDefault="00F516D4" w:rsidP="00C87A90">
            <w:pPr>
              <w:rPr>
                <w:sz w:val="20"/>
                <w:szCs w:val="20"/>
              </w:rPr>
            </w:pPr>
            <w:r w:rsidRPr="00BD35CB">
              <w:rPr>
                <w:sz w:val="20"/>
                <w:szCs w:val="20"/>
              </w:rPr>
              <w:t>Claiming/</w:t>
            </w:r>
            <w:r w:rsidR="00414455">
              <w:rPr>
                <w:sz w:val="20"/>
                <w:szCs w:val="20"/>
              </w:rPr>
              <w:br/>
            </w:r>
            <w:r w:rsidR="00414455" w:rsidRPr="00BD35CB">
              <w:rPr>
                <w:sz w:val="20"/>
                <w:szCs w:val="20"/>
              </w:rPr>
              <w:t xml:space="preserve">valuing savings </w:t>
            </w:r>
          </w:p>
        </w:tc>
        <w:tc>
          <w:tcPr>
            <w:tcW w:w="1845" w:type="dxa"/>
          </w:tcPr>
          <w:p w14:paraId="6DAEED6C"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 xml:space="preserve">Winter and summer peak kW are both important and should be tracked and claimed, there may be better methods to recognize this value </w:t>
            </w:r>
          </w:p>
        </w:tc>
        <w:tc>
          <w:tcPr>
            <w:tcW w:w="2475" w:type="dxa"/>
          </w:tcPr>
          <w:p w14:paraId="6AD7406B"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Perspective 1: Include separate summer and winter peak goals</w:t>
            </w:r>
          </w:p>
          <w:p w14:paraId="4D78DA96"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Perspective 2:increased total kW goals, still flexibility in how met through summer and winter</w:t>
            </w:r>
          </w:p>
          <w:p w14:paraId="6747E78B"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 xml:space="preserve">Perspective 3: adding Both a Winter and Summer Peak goal adds complexity </w:t>
            </w:r>
          </w:p>
          <w:p w14:paraId="1DCCAABB" w14:textId="2DC7C8A8" w:rsidR="00F516D4" w:rsidRPr="00BD35CB" w:rsidRDefault="00F516D4" w:rsidP="00BD35CB">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Perspective 4: Annual valuing could re-design peak kW value/savings</w:t>
            </w:r>
          </w:p>
        </w:tc>
        <w:tc>
          <w:tcPr>
            <w:tcW w:w="2340" w:type="dxa"/>
          </w:tcPr>
          <w:p w14:paraId="4FBE86CC" w14:textId="51ADFF93"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Yes. Current rule limits claimed savings to winter</w:t>
            </w:r>
            <w:r w:rsidRPr="00BD35CB">
              <w:rPr>
                <w:b/>
                <w:bCs/>
                <w:sz w:val="20"/>
                <w:szCs w:val="20"/>
              </w:rPr>
              <w:t xml:space="preserve"> or</w:t>
            </w:r>
            <w:r w:rsidRPr="00BD35CB">
              <w:rPr>
                <w:sz w:val="20"/>
                <w:szCs w:val="20"/>
              </w:rPr>
              <w:t xml:space="preserve"> summer. </w:t>
            </w:r>
            <w:r w:rsidR="004A570A">
              <w:rPr>
                <w:sz w:val="20"/>
                <w:szCs w:val="20"/>
              </w:rPr>
              <w:t>16 TAC §25.181</w:t>
            </w:r>
            <w:r w:rsidRPr="00BD35CB">
              <w:rPr>
                <w:sz w:val="20"/>
                <w:szCs w:val="20"/>
              </w:rPr>
              <w:t>(c)(44) and (e)(3)(G)</w:t>
            </w:r>
          </w:p>
        </w:tc>
        <w:tc>
          <w:tcPr>
            <w:tcW w:w="1710" w:type="dxa"/>
            <w:vMerge/>
          </w:tcPr>
          <w:p w14:paraId="5B462928"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p>
        </w:tc>
      </w:tr>
      <w:tr w:rsidR="00414455" w:rsidRPr="00BD35CB" w14:paraId="5FDF339F" w14:textId="77777777" w:rsidTr="000E38EF">
        <w:trPr>
          <w:jc w:val="center"/>
        </w:trPr>
        <w:tc>
          <w:tcPr>
            <w:cnfStyle w:val="001000000000" w:firstRow="0" w:lastRow="0" w:firstColumn="1" w:lastColumn="0" w:oddVBand="0" w:evenVBand="0" w:oddHBand="0" w:evenHBand="0" w:firstRowFirstColumn="0" w:firstRowLastColumn="0" w:lastRowFirstColumn="0" w:lastRowLastColumn="0"/>
            <w:tcW w:w="1525" w:type="dxa"/>
            <w:shd w:val="clear" w:color="auto" w:fill="25408F"/>
            <w:vAlign w:val="bottom"/>
          </w:tcPr>
          <w:p w14:paraId="5D29B937" w14:textId="7EB5DC25" w:rsidR="00414455" w:rsidRPr="00BD35CB" w:rsidRDefault="00414455" w:rsidP="000E38EF">
            <w:pPr>
              <w:pStyle w:val="TT-TableHeading"/>
              <w:keepNext/>
              <w:keepLines/>
            </w:pPr>
            <w:r w:rsidRPr="00414455">
              <w:t>Key issue</w:t>
            </w:r>
          </w:p>
        </w:tc>
        <w:tc>
          <w:tcPr>
            <w:tcW w:w="1845" w:type="dxa"/>
            <w:shd w:val="clear" w:color="auto" w:fill="25408F"/>
            <w:vAlign w:val="bottom"/>
          </w:tcPr>
          <w:p w14:paraId="24B35B22" w14:textId="21CB6E81" w:rsidR="00414455" w:rsidRPr="00BD35CB" w:rsidRDefault="00414455" w:rsidP="000E38EF">
            <w:pPr>
              <w:pStyle w:val="TT-TableHeading"/>
              <w:keepNext/>
              <w:keepLines/>
              <w:cnfStyle w:val="000000000000" w:firstRow="0" w:lastRow="0" w:firstColumn="0" w:lastColumn="0" w:oddVBand="0" w:evenVBand="0" w:oddHBand="0" w:evenHBand="0" w:firstRowFirstColumn="0" w:firstRowLastColumn="0" w:lastRowFirstColumn="0" w:lastRowLastColumn="0"/>
            </w:pPr>
            <w:r w:rsidRPr="00414455">
              <w:t>Areas of agreement</w:t>
            </w:r>
          </w:p>
        </w:tc>
        <w:tc>
          <w:tcPr>
            <w:tcW w:w="2475" w:type="dxa"/>
            <w:shd w:val="clear" w:color="auto" w:fill="25408F"/>
            <w:vAlign w:val="bottom"/>
          </w:tcPr>
          <w:p w14:paraId="0FBBED43" w14:textId="145B1678" w:rsidR="00414455" w:rsidRPr="00BD35CB" w:rsidRDefault="00414455" w:rsidP="000E38EF">
            <w:pPr>
              <w:pStyle w:val="TT-TableHeading"/>
              <w:keepNext/>
              <w:keepLines/>
              <w:cnfStyle w:val="000000000000" w:firstRow="0" w:lastRow="0" w:firstColumn="0" w:lastColumn="0" w:oddVBand="0" w:evenVBand="0" w:oddHBand="0" w:evenHBand="0" w:firstRowFirstColumn="0" w:firstRowLastColumn="0" w:lastRowFirstColumn="0" w:lastRowLastColumn="0"/>
            </w:pPr>
            <w:r w:rsidRPr="00414455">
              <w:t>Areas of debate</w:t>
            </w:r>
          </w:p>
        </w:tc>
        <w:tc>
          <w:tcPr>
            <w:tcW w:w="2340" w:type="dxa"/>
            <w:shd w:val="clear" w:color="auto" w:fill="25408F"/>
            <w:vAlign w:val="bottom"/>
          </w:tcPr>
          <w:p w14:paraId="3789E8E0" w14:textId="0579B7A3" w:rsidR="00414455" w:rsidRPr="00BD35CB" w:rsidRDefault="00414455" w:rsidP="000E38EF">
            <w:pPr>
              <w:pStyle w:val="TT-TableHeading"/>
              <w:keepNext/>
              <w:keepLines/>
              <w:cnfStyle w:val="000000000000" w:firstRow="0" w:lastRow="0" w:firstColumn="0" w:lastColumn="0" w:oddVBand="0" w:evenVBand="0" w:oddHBand="0" w:evenHBand="0" w:firstRowFirstColumn="0" w:firstRowLastColumn="0" w:lastRowFirstColumn="0" w:lastRowLastColumn="0"/>
            </w:pPr>
            <w:r w:rsidRPr="00414455">
              <w:t xml:space="preserve">Would this require legislation or rulemaking? If so, what? </w:t>
            </w:r>
          </w:p>
        </w:tc>
        <w:tc>
          <w:tcPr>
            <w:tcW w:w="1710" w:type="dxa"/>
            <w:vMerge/>
          </w:tcPr>
          <w:p w14:paraId="40B7A26E" w14:textId="77777777" w:rsidR="00414455" w:rsidRPr="00BD35CB" w:rsidRDefault="00414455" w:rsidP="000E38EF">
            <w:pPr>
              <w:keepNext/>
              <w:keepLines/>
              <w:cnfStyle w:val="000000000000" w:firstRow="0" w:lastRow="0" w:firstColumn="0" w:lastColumn="0" w:oddVBand="0" w:evenVBand="0" w:oddHBand="0" w:evenHBand="0" w:firstRowFirstColumn="0" w:firstRowLastColumn="0" w:lastRowFirstColumn="0" w:lastRowLastColumn="0"/>
              <w:rPr>
                <w:sz w:val="20"/>
              </w:rPr>
            </w:pPr>
          </w:p>
        </w:tc>
      </w:tr>
      <w:tr w:rsidR="000E38EF" w:rsidRPr="00BD35CB" w14:paraId="0392A7E2" w14:textId="77777777" w:rsidTr="007E667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5" w:type="dxa"/>
            <w:shd w:val="clear" w:color="auto" w:fill="auto"/>
          </w:tcPr>
          <w:p w14:paraId="4E2A4B79" w14:textId="6D189E6A" w:rsidR="00F516D4" w:rsidRPr="00BD35CB" w:rsidRDefault="00F516D4" w:rsidP="000E38EF">
            <w:pPr>
              <w:keepNext/>
              <w:keepLines/>
              <w:rPr>
                <w:sz w:val="20"/>
                <w:szCs w:val="20"/>
              </w:rPr>
            </w:pPr>
            <w:r w:rsidRPr="00BD35CB">
              <w:rPr>
                <w:sz w:val="20"/>
                <w:szCs w:val="20"/>
              </w:rPr>
              <w:t>Geo</w:t>
            </w:r>
            <w:r w:rsidR="00DE5AE0">
              <w:rPr>
                <w:sz w:val="20"/>
                <w:szCs w:val="20"/>
              </w:rPr>
              <w:t>t</w:t>
            </w:r>
            <w:r w:rsidRPr="00BD35CB">
              <w:rPr>
                <w:sz w:val="20"/>
                <w:szCs w:val="20"/>
              </w:rPr>
              <w:t xml:space="preserve">argeting </w:t>
            </w:r>
          </w:p>
        </w:tc>
        <w:tc>
          <w:tcPr>
            <w:tcW w:w="1845" w:type="dxa"/>
            <w:shd w:val="clear" w:color="auto" w:fill="auto"/>
          </w:tcPr>
          <w:p w14:paraId="479E2E82" w14:textId="2E41C428" w:rsidR="00F516D4" w:rsidRPr="00BD35CB" w:rsidRDefault="00F516D4"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Geo</w:t>
            </w:r>
            <w:r w:rsidR="00DE5AE0">
              <w:rPr>
                <w:sz w:val="20"/>
                <w:szCs w:val="20"/>
              </w:rPr>
              <w:t>t</w:t>
            </w:r>
            <w:r w:rsidRPr="00BD35CB">
              <w:rPr>
                <w:sz w:val="20"/>
                <w:szCs w:val="20"/>
              </w:rPr>
              <w:t>argeting is a nationwide trend and valuable program strategy for grid resiliency</w:t>
            </w:r>
          </w:p>
        </w:tc>
        <w:tc>
          <w:tcPr>
            <w:tcW w:w="2475" w:type="dxa"/>
            <w:shd w:val="clear" w:color="auto" w:fill="auto"/>
          </w:tcPr>
          <w:p w14:paraId="1A6B0AFE" w14:textId="77777777" w:rsidR="00F516D4" w:rsidRPr="00BD35CB" w:rsidRDefault="00F516D4"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Perspective 1: Potentially add a goal around Geo Targeting – perhaps for Low-Income and/or Grid Resilience</w:t>
            </w:r>
          </w:p>
          <w:p w14:paraId="43746055" w14:textId="77777777" w:rsidR="00F516D4" w:rsidRPr="00BD35CB" w:rsidRDefault="00F516D4"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Perspective 2: Additional complexity if geotarget goals are added and utilities are already doing some of this</w:t>
            </w:r>
          </w:p>
          <w:p w14:paraId="3F2B5735" w14:textId="77777777" w:rsidR="00F516D4" w:rsidRPr="00BD35CB" w:rsidRDefault="00F516D4" w:rsidP="000E38EF">
            <w:pPr>
              <w:keepNext/>
              <w:keepLines/>
              <w:cnfStyle w:val="000000100000" w:firstRow="0" w:lastRow="0" w:firstColumn="0" w:lastColumn="0" w:oddVBand="0" w:evenVBand="0" w:oddHBand="1" w:evenHBand="0" w:firstRowFirstColumn="0" w:firstRowLastColumn="0" w:lastRowFirstColumn="0" w:lastRowLastColumn="0"/>
              <w:rPr>
                <w:b/>
                <w:bCs/>
                <w:sz w:val="20"/>
                <w:szCs w:val="20"/>
              </w:rPr>
            </w:pPr>
            <w:r w:rsidRPr="00BD35CB">
              <w:rPr>
                <w:sz w:val="20"/>
                <w:szCs w:val="20"/>
              </w:rPr>
              <w:t>Perspective 3: More transparency is needed in metrics on who is served.</w:t>
            </w:r>
          </w:p>
        </w:tc>
        <w:tc>
          <w:tcPr>
            <w:tcW w:w="2340" w:type="dxa"/>
            <w:shd w:val="clear" w:color="auto" w:fill="auto"/>
          </w:tcPr>
          <w:p w14:paraId="7CBD6CD5" w14:textId="048B7925" w:rsidR="00F516D4" w:rsidRPr="00BD35CB" w:rsidRDefault="00F516D4"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Current rule does not address Geo</w:t>
            </w:r>
            <w:r w:rsidR="00DE5AE0">
              <w:rPr>
                <w:sz w:val="20"/>
                <w:szCs w:val="20"/>
              </w:rPr>
              <w:t>t</w:t>
            </w:r>
            <w:r w:rsidRPr="00BD35CB">
              <w:rPr>
                <w:sz w:val="20"/>
                <w:szCs w:val="20"/>
              </w:rPr>
              <w:t>argeting.</w:t>
            </w:r>
          </w:p>
        </w:tc>
        <w:tc>
          <w:tcPr>
            <w:tcW w:w="1710" w:type="dxa"/>
            <w:vMerge/>
          </w:tcPr>
          <w:p w14:paraId="0A052CC1" w14:textId="77777777" w:rsidR="00F516D4" w:rsidRPr="00BD35CB" w:rsidRDefault="00F516D4"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p>
        </w:tc>
      </w:tr>
      <w:tr w:rsidR="00414455" w:rsidRPr="00BD35CB" w14:paraId="62FA1629" w14:textId="77777777" w:rsidTr="000E38EF">
        <w:trPr>
          <w:jc w:val="center"/>
        </w:trPr>
        <w:tc>
          <w:tcPr>
            <w:cnfStyle w:val="001000000000" w:firstRow="0" w:lastRow="0" w:firstColumn="1" w:lastColumn="0" w:oddVBand="0" w:evenVBand="0" w:oddHBand="0" w:evenHBand="0" w:firstRowFirstColumn="0" w:firstRowLastColumn="0" w:lastRowFirstColumn="0" w:lastRowLastColumn="0"/>
            <w:tcW w:w="1525" w:type="dxa"/>
            <w:shd w:val="clear" w:color="auto" w:fill="25408F"/>
            <w:vAlign w:val="bottom"/>
          </w:tcPr>
          <w:p w14:paraId="16188B25" w14:textId="3A0A0775" w:rsidR="00414455" w:rsidRPr="00BD35CB" w:rsidRDefault="00414455" w:rsidP="00414455">
            <w:pPr>
              <w:pStyle w:val="TT-TableHeading"/>
            </w:pPr>
            <w:r w:rsidRPr="00414455">
              <w:t>Key issue</w:t>
            </w:r>
          </w:p>
        </w:tc>
        <w:tc>
          <w:tcPr>
            <w:tcW w:w="1845" w:type="dxa"/>
            <w:shd w:val="clear" w:color="auto" w:fill="25408F"/>
            <w:vAlign w:val="bottom"/>
          </w:tcPr>
          <w:p w14:paraId="469ECF4D" w14:textId="2DCCF97C" w:rsidR="00414455" w:rsidRPr="00BD35CB" w:rsidRDefault="00414455" w:rsidP="00414455">
            <w:pPr>
              <w:pStyle w:val="TT-TableHeading"/>
              <w:cnfStyle w:val="000000000000" w:firstRow="0" w:lastRow="0" w:firstColumn="0" w:lastColumn="0" w:oddVBand="0" w:evenVBand="0" w:oddHBand="0" w:evenHBand="0" w:firstRowFirstColumn="0" w:firstRowLastColumn="0" w:lastRowFirstColumn="0" w:lastRowLastColumn="0"/>
            </w:pPr>
            <w:r w:rsidRPr="00414455">
              <w:t>Areas of agreement</w:t>
            </w:r>
          </w:p>
        </w:tc>
        <w:tc>
          <w:tcPr>
            <w:tcW w:w="2475" w:type="dxa"/>
            <w:shd w:val="clear" w:color="auto" w:fill="25408F"/>
            <w:vAlign w:val="bottom"/>
          </w:tcPr>
          <w:p w14:paraId="5583940A" w14:textId="2B8BC5B1" w:rsidR="00414455" w:rsidRPr="00BD35CB" w:rsidRDefault="00414455" w:rsidP="00414455">
            <w:pPr>
              <w:pStyle w:val="TT-TableHeading"/>
              <w:cnfStyle w:val="000000000000" w:firstRow="0" w:lastRow="0" w:firstColumn="0" w:lastColumn="0" w:oddVBand="0" w:evenVBand="0" w:oddHBand="0" w:evenHBand="0" w:firstRowFirstColumn="0" w:firstRowLastColumn="0" w:lastRowFirstColumn="0" w:lastRowLastColumn="0"/>
            </w:pPr>
            <w:r w:rsidRPr="00414455">
              <w:t>Areas of debate</w:t>
            </w:r>
          </w:p>
        </w:tc>
        <w:tc>
          <w:tcPr>
            <w:tcW w:w="2340" w:type="dxa"/>
            <w:shd w:val="clear" w:color="auto" w:fill="25408F"/>
            <w:vAlign w:val="bottom"/>
          </w:tcPr>
          <w:p w14:paraId="33D32005" w14:textId="2C2BE142" w:rsidR="00414455" w:rsidRPr="004A570A" w:rsidRDefault="00414455" w:rsidP="00414455">
            <w:pPr>
              <w:pStyle w:val="TT-TableHeading"/>
              <w:cnfStyle w:val="000000000000" w:firstRow="0" w:lastRow="0" w:firstColumn="0" w:lastColumn="0" w:oddVBand="0" w:evenVBand="0" w:oddHBand="0" w:evenHBand="0" w:firstRowFirstColumn="0" w:firstRowLastColumn="0" w:lastRowFirstColumn="0" w:lastRowLastColumn="0"/>
              <w:rPr>
                <w:lang w:val="es-MX"/>
              </w:rPr>
            </w:pPr>
            <w:r w:rsidRPr="00414455">
              <w:t xml:space="preserve">Would this require legislation or rulemaking? If so, what? </w:t>
            </w:r>
          </w:p>
        </w:tc>
        <w:tc>
          <w:tcPr>
            <w:tcW w:w="1710" w:type="dxa"/>
            <w:shd w:val="clear" w:color="auto" w:fill="25408F"/>
            <w:vAlign w:val="bottom"/>
          </w:tcPr>
          <w:p w14:paraId="4580383B" w14:textId="40E8C552" w:rsidR="00414455" w:rsidRPr="00BD35CB" w:rsidRDefault="00414455" w:rsidP="00414455">
            <w:pPr>
              <w:pStyle w:val="TT-TableHeading"/>
              <w:cnfStyle w:val="000000000000" w:firstRow="0" w:lastRow="0" w:firstColumn="0" w:lastColumn="0" w:oddVBand="0" w:evenVBand="0" w:oddHBand="0" w:evenHBand="0" w:firstRowFirstColumn="0" w:firstRowLastColumn="0" w:lastRowFirstColumn="0" w:lastRowLastColumn="0"/>
            </w:pPr>
            <w:r w:rsidRPr="00414455">
              <w:t>Could another process address?</w:t>
            </w:r>
          </w:p>
        </w:tc>
      </w:tr>
      <w:tr w:rsidR="00414455" w:rsidRPr="00BD35CB" w14:paraId="04BE32EB" w14:textId="77777777" w:rsidTr="000E38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5" w:type="dxa"/>
          </w:tcPr>
          <w:p w14:paraId="2C3F2C52" w14:textId="5A5B89A1" w:rsidR="00F516D4" w:rsidRPr="00BD35CB" w:rsidRDefault="00F516D4" w:rsidP="00C87A90">
            <w:pPr>
              <w:rPr>
                <w:sz w:val="20"/>
                <w:szCs w:val="20"/>
              </w:rPr>
            </w:pPr>
            <w:r w:rsidRPr="00BD35CB">
              <w:rPr>
                <w:sz w:val="20"/>
                <w:szCs w:val="20"/>
              </w:rPr>
              <w:t xml:space="preserve">Calculation of </w:t>
            </w:r>
            <w:r w:rsidR="00414455" w:rsidRPr="00BD35CB">
              <w:rPr>
                <w:sz w:val="20"/>
                <w:szCs w:val="20"/>
              </w:rPr>
              <w:t>goals</w:t>
            </w:r>
          </w:p>
        </w:tc>
        <w:tc>
          <w:tcPr>
            <w:tcW w:w="1845" w:type="dxa"/>
          </w:tcPr>
          <w:p w14:paraId="0E940781"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All agreed on a multi-year basis for program stability.</w:t>
            </w:r>
          </w:p>
        </w:tc>
        <w:tc>
          <w:tcPr>
            <w:tcW w:w="2475" w:type="dxa"/>
          </w:tcPr>
          <w:p w14:paraId="5FF09ECD"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Perspective 1: Using the 5 year past average provides enough lead time for utilities to ramp up new programs and adjust programs as needed.</w:t>
            </w:r>
          </w:p>
          <w:p w14:paraId="4F7DC074"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Perspective 2: Using the 5 year past average may not accurately capture load growth – discuss pros/cons of trend analysis vs. averaging</w:t>
            </w:r>
          </w:p>
          <w:p w14:paraId="7385512E"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Perspective 3: A 3-year period for averaging or trending may be more accurate than 5-year average</w:t>
            </w:r>
          </w:p>
        </w:tc>
        <w:tc>
          <w:tcPr>
            <w:tcW w:w="2340" w:type="dxa"/>
          </w:tcPr>
          <w:p w14:paraId="5C883D3B" w14:textId="7E1058C9" w:rsidR="00F516D4" w:rsidRPr="004A570A" w:rsidRDefault="00F516D4" w:rsidP="00C87A90">
            <w:pPr>
              <w:cnfStyle w:val="000000100000" w:firstRow="0" w:lastRow="0" w:firstColumn="0" w:lastColumn="0" w:oddVBand="0" w:evenVBand="0" w:oddHBand="1" w:evenHBand="0" w:firstRowFirstColumn="0" w:firstRowLastColumn="0" w:lastRowFirstColumn="0" w:lastRowLastColumn="0"/>
              <w:rPr>
                <w:sz w:val="20"/>
                <w:szCs w:val="20"/>
                <w:lang w:val="es-MX"/>
              </w:rPr>
            </w:pPr>
            <w:r w:rsidRPr="004A570A">
              <w:rPr>
                <w:sz w:val="20"/>
                <w:szCs w:val="20"/>
                <w:lang w:val="es-MX"/>
              </w:rPr>
              <w:t xml:space="preserve">Yes, </w:t>
            </w:r>
            <w:r w:rsidR="004A570A" w:rsidRPr="004A570A">
              <w:rPr>
                <w:sz w:val="20"/>
                <w:szCs w:val="20"/>
                <w:lang w:val="es-MX"/>
              </w:rPr>
              <w:t>16 TAC §25.181</w:t>
            </w:r>
            <w:r w:rsidRPr="004A570A">
              <w:rPr>
                <w:sz w:val="20"/>
                <w:szCs w:val="20"/>
                <w:lang w:val="es-MX"/>
              </w:rPr>
              <w:t>(e)(3)(A)(B)(D)</w:t>
            </w:r>
          </w:p>
          <w:p w14:paraId="71A1F372" w14:textId="77777777" w:rsidR="00F516D4" w:rsidRPr="004A570A" w:rsidRDefault="00F516D4" w:rsidP="00C87A90">
            <w:pPr>
              <w:cnfStyle w:val="000000100000" w:firstRow="0" w:lastRow="0" w:firstColumn="0" w:lastColumn="0" w:oddVBand="0" w:evenVBand="0" w:oddHBand="1" w:evenHBand="0" w:firstRowFirstColumn="0" w:firstRowLastColumn="0" w:lastRowFirstColumn="0" w:lastRowLastColumn="0"/>
              <w:rPr>
                <w:sz w:val="20"/>
                <w:szCs w:val="20"/>
                <w:lang w:val="es-MX"/>
              </w:rPr>
            </w:pPr>
          </w:p>
          <w:p w14:paraId="6D0555A5" w14:textId="0CC411A5"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(3)(A) “The Utility Shall calculate the average growth rate for the prior five years.”</w:t>
            </w:r>
            <w:r w:rsidR="00DE5AE0">
              <w:rPr>
                <w:sz w:val="20"/>
                <w:szCs w:val="20"/>
              </w:rPr>
              <w:t xml:space="preserve"> </w:t>
            </w:r>
            <w:r w:rsidR="00DE5AE0">
              <w:rPr>
                <w:sz w:val="20"/>
              </w:rPr>
              <w:t xml:space="preserve">Or under (3)(B), apply “the percentage goal to the utility’s summer weather-adjusted </w:t>
            </w:r>
            <w:r w:rsidR="00263578">
              <w:rPr>
                <w:sz w:val="20"/>
              </w:rPr>
              <w:t>five-year</w:t>
            </w:r>
            <w:r w:rsidR="00DE5AE0">
              <w:rPr>
                <w:sz w:val="20"/>
              </w:rPr>
              <w:t xml:space="preserve"> average peak demand.”</w:t>
            </w:r>
          </w:p>
        </w:tc>
        <w:tc>
          <w:tcPr>
            <w:tcW w:w="1710" w:type="dxa"/>
          </w:tcPr>
          <w:p w14:paraId="00B39740" w14:textId="77777777" w:rsidR="00F516D4" w:rsidRPr="00BD35CB" w:rsidRDefault="00F516D4" w:rsidP="00C87A90">
            <w:pPr>
              <w:cnfStyle w:val="000000100000" w:firstRow="0" w:lastRow="0" w:firstColumn="0" w:lastColumn="0" w:oddVBand="0" w:evenVBand="0" w:oddHBand="1" w:evenHBand="0" w:firstRowFirstColumn="0" w:firstRowLastColumn="0" w:lastRowFirstColumn="0" w:lastRowLastColumn="0"/>
              <w:rPr>
                <w:sz w:val="20"/>
                <w:szCs w:val="20"/>
              </w:rPr>
            </w:pPr>
          </w:p>
        </w:tc>
      </w:tr>
      <w:tr w:rsidR="00414455" w:rsidRPr="00BD35CB" w14:paraId="77439F1C" w14:textId="77777777" w:rsidTr="000E38EF">
        <w:trPr>
          <w:jc w:val="center"/>
        </w:trPr>
        <w:tc>
          <w:tcPr>
            <w:cnfStyle w:val="001000000000" w:firstRow="0" w:lastRow="0" w:firstColumn="1" w:lastColumn="0" w:oddVBand="0" w:evenVBand="0" w:oddHBand="0" w:evenHBand="0" w:firstRowFirstColumn="0" w:firstRowLastColumn="0" w:lastRowFirstColumn="0" w:lastRowLastColumn="0"/>
            <w:tcW w:w="1525" w:type="dxa"/>
            <w:shd w:val="clear" w:color="auto" w:fill="25408F"/>
            <w:vAlign w:val="bottom"/>
          </w:tcPr>
          <w:p w14:paraId="4915EAA6" w14:textId="769351C2" w:rsidR="00414455" w:rsidRPr="00BD35CB" w:rsidRDefault="00414455" w:rsidP="000E38EF">
            <w:pPr>
              <w:pStyle w:val="TT-TableHeading"/>
              <w:keepNext/>
              <w:keepLines/>
            </w:pPr>
            <w:r w:rsidRPr="00414455">
              <w:t>Key issue</w:t>
            </w:r>
          </w:p>
        </w:tc>
        <w:tc>
          <w:tcPr>
            <w:tcW w:w="1845" w:type="dxa"/>
            <w:shd w:val="clear" w:color="auto" w:fill="25408F"/>
            <w:vAlign w:val="bottom"/>
          </w:tcPr>
          <w:p w14:paraId="68D7B8EB" w14:textId="0CB464C8" w:rsidR="00414455" w:rsidRPr="00BD35CB" w:rsidRDefault="00414455" w:rsidP="000E38EF">
            <w:pPr>
              <w:pStyle w:val="TT-TableHeading"/>
              <w:keepNext/>
              <w:keepLines/>
              <w:cnfStyle w:val="000000000000" w:firstRow="0" w:lastRow="0" w:firstColumn="0" w:lastColumn="0" w:oddVBand="0" w:evenVBand="0" w:oddHBand="0" w:evenHBand="0" w:firstRowFirstColumn="0" w:firstRowLastColumn="0" w:lastRowFirstColumn="0" w:lastRowLastColumn="0"/>
            </w:pPr>
            <w:r w:rsidRPr="00414455">
              <w:t>Areas of agreement</w:t>
            </w:r>
          </w:p>
        </w:tc>
        <w:tc>
          <w:tcPr>
            <w:tcW w:w="2475" w:type="dxa"/>
            <w:shd w:val="clear" w:color="auto" w:fill="25408F"/>
            <w:vAlign w:val="bottom"/>
          </w:tcPr>
          <w:p w14:paraId="36DE0EAD" w14:textId="7F8B164F" w:rsidR="00414455" w:rsidRPr="00BD35CB" w:rsidRDefault="00414455" w:rsidP="000E38EF">
            <w:pPr>
              <w:pStyle w:val="TT-TableHeading"/>
              <w:keepNext/>
              <w:keepLines/>
              <w:cnfStyle w:val="000000000000" w:firstRow="0" w:lastRow="0" w:firstColumn="0" w:lastColumn="0" w:oddVBand="0" w:evenVBand="0" w:oddHBand="0" w:evenHBand="0" w:firstRowFirstColumn="0" w:firstRowLastColumn="0" w:lastRowFirstColumn="0" w:lastRowLastColumn="0"/>
            </w:pPr>
            <w:r w:rsidRPr="00414455">
              <w:t>Areas of debate</w:t>
            </w:r>
          </w:p>
        </w:tc>
        <w:tc>
          <w:tcPr>
            <w:tcW w:w="2340" w:type="dxa"/>
            <w:shd w:val="clear" w:color="auto" w:fill="25408F"/>
            <w:vAlign w:val="bottom"/>
          </w:tcPr>
          <w:p w14:paraId="7FE5CD9F" w14:textId="15E3C3BF" w:rsidR="00414455" w:rsidRPr="00BD35CB" w:rsidRDefault="00414455" w:rsidP="000E38EF">
            <w:pPr>
              <w:pStyle w:val="TT-TableHeading"/>
              <w:keepNext/>
              <w:keepLines/>
              <w:cnfStyle w:val="000000000000" w:firstRow="0" w:lastRow="0" w:firstColumn="0" w:lastColumn="0" w:oddVBand="0" w:evenVBand="0" w:oddHBand="0" w:evenHBand="0" w:firstRowFirstColumn="0" w:firstRowLastColumn="0" w:lastRowFirstColumn="0" w:lastRowLastColumn="0"/>
            </w:pPr>
            <w:r w:rsidRPr="00414455">
              <w:t xml:space="preserve">Would this require legislation or rulemaking? If so, what? </w:t>
            </w:r>
          </w:p>
        </w:tc>
        <w:tc>
          <w:tcPr>
            <w:tcW w:w="1710" w:type="dxa"/>
            <w:shd w:val="clear" w:color="auto" w:fill="25408F"/>
            <w:vAlign w:val="bottom"/>
          </w:tcPr>
          <w:p w14:paraId="2E0E579B" w14:textId="70474806" w:rsidR="00414455" w:rsidRPr="00BD35CB" w:rsidRDefault="00414455" w:rsidP="000E38EF">
            <w:pPr>
              <w:pStyle w:val="TT-TableHeading"/>
              <w:keepNext/>
              <w:keepLines/>
              <w:cnfStyle w:val="000000000000" w:firstRow="0" w:lastRow="0" w:firstColumn="0" w:lastColumn="0" w:oddVBand="0" w:evenVBand="0" w:oddHBand="0" w:evenHBand="0" w:firstRowFirstColumn="0" w:firstRowLastColumn="0" w:lastRowFirstColumn="0" w:lastRowLastColumn="0"/>
            </w:pPr>
            <w:r w:rsidRPr="00414455">
              <w:t>Could another process address?</w:t>
            </w:r>
          </w:p>
        </w:tc>
      </w:tr>
      <w:tr w:rsidR="00414455" w:rsidRPr="00BD35CB" w14:paraId="054C02C2" w14:textId="77777777" w:rsidTr="007E667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25" w:type="dxa"/>
            <w:shd w:val="clear" w:color="auto" w:fill="FFFFFF" w:themeFill="background1"/>
          </w:tcPr>
          <w:p w14:paraId="0FB40B7C" w14:textId="3DE1C30D" w:rsidR="00F516D4" w:rsidRPr="00BD35CB" w:rsidRDefault="00F516D4" w:rsidP="000E38EF">
            <w:pPr>
              <w:keepNext/>
              <w:keepLines/>
              <w:rPr>
                <w:sz w:val="20"/>
                <w:szCs w:val="20"/>
              </w:rPr>
            </w:pPr>
            <w:r w:rsidRPr="00BD35CB">
              <w:rPr>
                <w:sz w:val="20"/>
                <w:szCs w:val="20"/>
              </w:rPr>
              <w:t xml:space="preserve">Priority of kW </w:t>
            </w:r>
            <w:r w:rsidR="00414455">
              <w:rPr>
                <w:sz w:val="20"/>
                <w:szCs w:val="20"/>
              </w:rPr>
              <w:t>d</w:t>
            </w:r>
            <w:r w:rsidRPr="00BD35CB">
              <w:rPr>
                <w:sz w:val="20"/>
                <w:szCs w:val="20"/>
              </w:rPr>
              <w:t xml:space="preserve">emand </w:t>
            </w:r>
            <w:r w:rsidR="00414455">
              <w:rPr>
                <w:sz w:val="20"/>
                <w:szCs w:val="20"/>
              </w:rPr>
              <w:t>g</w:t>
            </w:r>
            <w:r w:rsidRPr="00BD35CB">
              <w:rPr>
                <w:sz w:val="20"/>
                <w:szCs w:val="20"/>
              </w:rPr>
              <w:t>oal</w:t>
            </w:r>
          </w:p>
        </w:tc>
        <w:tc>
          <w:tcPr>
            <w:tcW w:w="1845" w:type="dxa"/>
            <w:shd w:val="clear" w:color="auto" w:fill="FFFFFF" w:themeFill="background1"/>
          </w:tcPr>
          <w:p w14:paraId="0929562C" w14:textId="77777777" w:rsidR="00F516D4" w:rsidRPr="00BD35CB" w:rsidRDefault="00F516D4"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kW Peak Demand Goal is the priority of Texas and makes sense for the Texas grid</w:t>
            </w:r>
          </w:p>
        </w:tc>
        <w:tc>
          <w:tcPr>
            <w:tcW w:w="2475" w:type="dxa"/>
            <w:shd w:val="clear" w:color="auto" w:fill="FFFFFF" w:themeFill="background1"/>
          </w:tcPr>
          <w:p w14:paraId="11DB7A16" w14:textId="77777777" w:rsidR="00F516D4" w:rsidRPr="00BD35CB" w:rsidRDefault="00F516D4"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 xml:space="preserve">Perspective 1: Peak kW is a hard concept for consumers/public to understand. </w:t>
            </w:r>
          </w:p>
          <w:p w14:paraId="62C53276" w14:textId="50083205" w:rsidR="00F516D4" w:rsidRPr="00BD35CB" w:rsidRDefault="00F516D4"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P</w:t>
            </w:r>
            <w:r w:rsidR="00BD35CB" w:rsidRPr="00BD35CB">
              <w:rPr>
                <w:sz w:val="20"/>
                <w:szCs w:val="20"/>
              </w:rPr>
              <w:t>e</w:t>
            </w:r>
            <w:r w:rsidRPr="00BD35CB">
              <w:rPr>
                <w:sz w:val="20"/>
                <w:szCs w:val="20"/>
              </w:rPr>
              <w:t xml:space="preserve">rspective 2: By focusing on peak kW demand from energy efficiency, you will also receive the value of kWh. </w:t>
            </w:r>
          </w:p>
          <w:p w14:paraId="722A0D83" w14:textId="77777777" w:rsidR="00F516D4" w:rsidRPr="00BD35CB" w:rsidRDefault="00F516D4"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 xml:space="preserve">Perspective 3: While peak demand goal is the priority, having separate energy savings goals  -- or increasing the current load factor from 20 percent to a higher amount - assures that the savings will be enjoyed throughout the year, which is especially important for residential consumers. </w:t>
            </w:r>
          </w:p>
        </w:tc>
        <w:tc>
          <w:tcPr>
            <w:tcW w:w="2340" w:type="dxa"/>
            <w:shd w:val="clear" w:color="auto" w:fill="FFFFFF" w:themeFill="background1"/>
          </w:tcPr>
          <w:p w14:paraId="5255552C" w14:textId="1188F5AA" w:rsidR="00F516D4" w:rsidRPr="00BD35CB" w:rsidRDefault="00F516D4"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BD35CB">
              <w:rPr>
                <w:sz w:val="20"/>
                <w:szCs w:val="20"/>
              </w:rPr>
              <w:t xml:space="preserve">Yes, PURA and </w:t>
            </w:r>
            <w:r w:rsidR="004A570A">
              <w:rPr>
                <w:sz w:val="20"/>
                <w:szCs w:val="20"/>
              </w:rPr>
              <w:t>16 TAC §25.181</w:t>
            </w:r>
            <w:r w:rsidRPr="00BD35CB">
              <w:rPr>
                <w:sz w:val="20"/>
                <w:szCs w:val="20"/>
              </w:rPr>
              <w:t>(e)(1)(A)(B)(C)(D)</w:t>
            </w:r>
          </w:p>
          <w:p w14:paraId="64B4AF75" w14:textId="63F74216" w:rsidR="00F516D4" w:rsidRPr="00BD35CB" w:rsidRDefault="0014083D"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F516D4" w:rsidRPr="00BD35CB">
              <w:rPr>
                <w:sz w:val="20"/>
                <w:szCs w:val="20"/>
              </w:rPr>
              <w:t>s is focused on peak kW demand</w:t>
            </w:r>
          </w:p>
        </w:tc>
        <w:tc>
          <w:tcPr>
            <w:tcW w:w="1710" w:type="dxa"/>
            <w:shd w:val="clear" w:color="auto" w:fill="FFFFFF" w:themeFill="background1"/>
          </w:tcPr>
          <w:p w14:paraId="02BC1A5D" w14:textId="77777777" w:rsidR="00F516D4" w:rsidRPr="00BD35CB" w:rsidRDefault="00F516D4"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p>
        </w:tc>
      </w:tr>
    </w:tbl>
    <w:p w14:paraId="4E27A644" w14:textId="482AFAE6" w:rsidR="00B47239" w:rsidRDefault="00B47239" w:rsidP="00B47239">
      <w:pPr>
        <w:pStyle w:val="Heading3"/>
      </w:pPr>
      <w:r>
        <w:t>Session 2 February 6th, 2023-Energy savings (kWh) goals discussion</w:t>
      </w:r>
    </w:p>
    <w:p w14:paraId="63A709D6" w14:textId="6B483209" w:rsidR="00CF0A51" w:rsidRPr="00AC6793" w:rsidRDefault="00CF0A51" w:rsidP="00CF0A51">
      <w:pPr>
        <w:tabs>
          <w:tab w:val="left" w:pos="4095"/>
        </w:tabs>
        <w:rPr>
          <w:color w:val="B6DDE8" w:themeColor="accent5" w:themeTint="66"/>
          <w:sz w:val="24"/>
          <w:szCs w:val="24"/>
        </w:rPr>
      </w:pPr>
      <w:r>
        <w:t>Session 2 discussion on kWh savings. The table below summarizes the key issues identified and places a priority/level of effort for addressing this issue in a rulemaking</w:t>
      </w:r>
      <w:r w:rsidR="008D097D">
        <w:t xml:space="preserve"> and/or legislative change.</w:t>
      </w:r>
    </w:p>
    <w:tbl>
      <w:tblPr>
        <w:tblStyle w:val="GridTable4-Accent5"/>
        <w:tblW w:w="971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461"/>
        <w:gridCol w:w="3394"/>
        <w:gridCol w:w="4860"/>
      </w:tblGrid>
      <w:tr w:rsidR="00CF0A51" w:rsidRPr="00CF0A51" w14:paraId="2E9324CA" w14:textId="77777777" w:rsidTr="000E38EF">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461" w:type="dxa"/>
            <w:tcBorders>
              <w:top w:val="none" w:sz="0" w:space="0" w:color="auto"/>
              <w:left w:val="none" w:sz="0" w:space="0" w:color="auto"/>
              <w:bottom w:val="none" w:sz="0" w:space="0" w:color="auto"/>
              <w:right w:val="none" w:sz="0" w:space="0" w:color="auto"/>
            </w:tcBorders>
            <w:shd w:val="clear" w:color="auto" w:fill="25408F"/>
          </w:tcPr>
          <w:p w14:paraId="1A31372E" w14:textId="77777777" w:rsidR="00CF0A51" w:rsidRPr="00414455" w:rsidRDefault="00CF0A51" w:rsidP="00414455">
            <w:pPr>
              <w:pStyle w:val="TT-TableHeading"/>
              <w:rPr>
                <w:bCs/>
              </w:rPr>
            </w:pPr>
            <w:r w:rsidRPr="00414455">
              <w:rPr>
                <w:bCs/>
              </w:rPr>
              <w:t>Issue</w:t>
            </w:r>
          </w:p>
        </w:tc>
        <w:tc>
          <w:tcPr>
            <w:tcW w:w="3394" w:type="dxa"/>
            <w:tcBorders>
              <w:top w:val="none" w:sz="0" w:space="0" w:color="auto"/>
              <w:left w:val="none" w:sz="0" w:space="0" w:color="auto"/>
              <w:bottom w:val="none" w:sz="0" w:space="0" w:color="auto"/>
              <w:right w:val="none" w:sz="0" w:space="0" w:color="auto"/>
            </w:tcBorders>
            <w:shd w:val="clear" w:color="auto" w:fill="25408F"/>
          </w:tcPr>
          <w:p w14:paraId="6D1EA16C" w14:textId="77777777" w:rsidR="00CF0A51" w:rsidRPr="00414455" w:rsidRDefault="00CF0A51" w:rsidP="00414455">
            <w:pPr>
              <w:pStyle w:val="TT-TableHeading"/>
              <w:cnfStyle w:val="100000000000" w:firstRow="1" w:lastRow="0" w:firstColumn="0" w:lastColumn="0" w:oddVBand="0" w:evenVBand="0" w:oddHBand="0" w:evenHBand="0" w:firstRowFirstColumn="0" w:firstRowLastColumn="0" w:lastRowFirstColumn="0" w:lastRowLastColumn="0"/>
              <w:rPr>
                <w:bCs/>
              </w:rPr>
            </w:pPr>
            <w:r w:rsidRPr="00414455">
              <w:rPr>
                <w:bCs/>
              </w:rPr>
              <w:t>Summary</w:t>
            </w:r>
          </w:p>
        </w:tc>
        <w:tc>
          <w:tcPr>
            <w:tcW w:w="4860" w:type="dxa"/>
            <w:tcBorders>
              <w:top w:val="none" w:sz="0" w:space="0" w:color="auto"/>
              <w:left w:val="none" w:sz="0" w:space="0" w:color="auto"/>
              <w:bottom w:val="none" w:sz="0" w:space="0" w:color="auto"/>
              <w:right w:val="none" w:sz="0" w:space="0" w:color="auto"/>
            </w:tcBorders>
            <w:shd w:val="clear" w:color="auto" w:fill="25408F"/>
          </w:tcPr>
          <w:p w14:paraId="4B239189" w14:textId="573E3114" w:rsidR="00CF0A51" w:rsidRPr="00414455" w:rsidRDefault="00CF0A51" w:rsidP="00414455">
            <w:pPr>
              <w:pStyle w:val="TT-TableHeading"/>
              <w:cnfStyle w:val="100000000000" w:firstRow="1" w:lastRow="0" w:firstColumn="0" w:lastColumn="0" w:oddVBand="0" w:evenVBand="0" w:oddHBand="0" w:evenHBand="0" w:firstRowFirstColumn="0" w:firstRowLastColumn="0" w:lastRowFirstColumn="0" w:lastRowLastColumn="0"/>
              <w:rPr>
                <w:bCs/>
              </w:rPr>
            </w:pPr>
            <w:r w:rsidRPr="00414455">
              <w:rPr>
                <w:bCs/>
              </w:rPr>
              <w:t xml:space="preserve">Working Group </w:t>
            </w:r>
            <w:r w:rsidR="00414455" w:rsidRPr="00414455">
              <w:rPr>
                <w:bCs/>
              </w:rPr>
              <w:t xml:space="preserve">priority </w:t>
            </w:r>
            <w:r w:rsidRPr="00414455">
              <w:rPr>
                <w:bCs/>
              </w:rPr>
              <w:t xml:space="preserve">and </w:t>
            </w:r>
            <w:r w:rsidR="00414455" w:rsidRPr="00414455">
              <w:rPr>
                <w:bCs/>
              </w:rPr>
              <w:t>why</w:t>
            </w:r>
          </w:p>
        </w:tc>
      </w:tr>
      <w:tr w:rsidR="00CF0A51" w:rsidRPr="00CF0A51" w14:paraId="3CBD0548" w14:textId="77777777" w:rsidTr="000E38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1" w:type="dxa"/>
          </w:tcPr>
          <w:p w14:paraId="5DF72210" w14:textId="077B1E53" w:rsidR="00CF0A51" w:rsidRPr="00CF0A51" w:rsidRDefault="00CF0A51" w:rsidP="00C87A90">
            <w:pPr>
              <w:rPr>
                <w:sz w:val="20"/>
                <w:szCs w:val="20"/>
              </w:rPr>
            </w:pPr>
            <w:r w:rsidRPr="00CF0A51">
              <w:rPr>
                <w:sz w:val="20"/>
                <w:szCs w:val="20"/>
              </w:rPr>
              <w:t xml:space="preserve">Level of kWh </w:t>
            </w:r>
            <w:r w:rsidR="000E38EF" w:rsidRPr="00CF0A51">
              <w:rPr>
                <w:sz w:val="20"/>
                <w:szCs w:val="20"/>
              </w:rPr>
              <w:t xml:space="preserve">goals </w:t>
            </w:r>
          </w:p>
        </w:tc>
        <w:tc>
          <w:tcPr>
            <w:tcW w:w="3394" w:type="dxa"/>
          </w:tcPr>
          <w:p w14:paraId="6CE2A0FE"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rPr>
              <w:t xml:space="preserve">PURA first established long-term goals in 1999 for the IOUs. Since 2013, “floor” of 30% of demand growth or 4/10 of 1% of summer peak. PURA does not have energy savings (kWh) goals.   </w:t>
            </w:r>
          </w:p>
        </w:tc>
        <w:tc>
          <w:tcPr>
            <w:tcW w:w="4860" w:type="dxa"/>
          </w:tcPr>
          <w:p w14:paraId="4D4720AA" w14:textId="01CFABB6"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F0A51">
              <w:rPr>
                <w:b/>
                <w:bCs/>
                <w:sz w:val="20"/>
                <w:szCs w:val="20"/>
              </w:rPr>
              <w:t xml:space="preserve">High Priority: </w:t>
            </w:r>
            <w:r w:rsidRPr="00CF0A51">
              <w:rPr>
                <w:sz w:val="20"/>
                <w:szCs w:val="20"/>
              </w:rPr>
              <w:t>Some</w:t>
            </w:r>
            <w:r w:rsidRPr="00CF0A51">
              <w:rPr>
                <w:b/>
                <w:bCs/>
                <w:sz w:val="20"/>
                <w:szCs w:val="20"/>
              </w:rPr>
              <w:t xml:space="preserve"> </w:t>
            </w:r>
            <w:r w:rsidRPr="00CF0A51">
              <w:rPr>
                <w:sz w:val="20"/>
                <w:szCs w:val="20"/>
              </w:rPr>
              <w:t>Stakeholders voiced that the kWh goal is set too low however this may not require setting a new separate goal, rather adjusting the Energy Conservation Load Factor (ECLF) . Others discussed that if the peak kW goal is increased or if the percent of peak kW from  load management contributions is limited, this would also result in increased kWh savings.</w:t>
            </w:r>
          </w:p>
        </w:tc>
      </w:tr>
      <w:tr w:rsidR="00CF0A51" w:rsidRPr="00CF0A51" w14:paraId="708048B0" w14:textId="77777777" w:rsidTr="000E38EF">
        <w:trPr>
          <w:jc w:val="center"/>
        </w:trPr>
        <w:tc>
          <w:tcPr>
            <w:cnfStyle w:val="001000000000" w:firstRow="0" w:lastRow="0" w:firstColumn="1" w:lastColumn="0" w:oddVBand="0" w:evenVBand="0" w:oddHBand="0" w:evenHBand="0" w:firstRowFirstColumn="0" w:firstRowLastColumn="0" w:lastRowFirstColumn="0" w:lastRowLastColumn="0"/>
            <w:tcW w:w="1461" w:type="dxa"/>
          </w:tcPr>
          <w:p w14:paraId="3A8067BC" w14:textId="77777777" w:rsidR="00CF0A51" w:rsidRPr="00CF0A51" w:rsidRDefault="00CF0A51" w:rsidP="00C87A90">
            <w:pPr>
              <w:rPr>
                <w:sz w:val="20"/>
                <w:szCs w:val="20"/>
              </w:rPr>
            </w:pPr>
            <w:r w:rsidRPr="00CF0A51">
              <w:rPr>
                <w:sz w:val="20"/>
                <w:szCs w:val="20"/>
              </w:rPr>
              <w:t>How kWh savings are defined</w:t>
            </w:r>
          </w:p>
        </w:tc>
        <w:tc>
          <w:tcPr>
            <w:tcW w:w="3394" w:type="dxa"/>
          </w:tcPr>
          <w:p w14:paraId="6B186332" w14:textId="023C9175" w:rsidR="00CF0A51" w:rsidRPr="00CF0A51" w:rsidRDefault="004A570A" w:rsidP="00C87A90">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D24F10">
              <w:rPr>
                <w:sz w:val="20"/>
                <w:szCs w:val="20"/>
              </w:rPr>
              <w:t xml:space="preserve"> </w:t>
            </w:r>
            <w:r w:rsidR="00CF0A51" w:rsidRPr="00CF0A51">
              <w:rPr>
                <w:sz w:val="20"/>
                <w:szCs w:val="20"/>
              </w:rPr>
              <w:t>includes energy savings (kWh) goals in relation to demand savings (kW) goals through a “conservation load factor,” which is currently set at .2.</w:t>
            </w:r>
          </w:p>
        </w:tc>
        <w:tc>
          <w:tcPr>
            <w:tcW w:w="4860" w:type="dxa"/>
          </w:tcPr>
          <w:p w14:paraId="21A27572" w14:textId="556387B6" w:rsidR="00CF0A51" w:rsidRPr="00CF0A51" w:rsidRDefault="00CF0A5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F0A51">
              <w:rPr>
                <w:b/>
                <w:bCs/>
                <w:sz w:val="20"/>
                <w:szCs w:val="20"/>
              </w:rPr>
              <w:t xml:space="preserve">High Priority: </w:t>
            </w:r>
            <w:r w:rsidRPr="00CF0A51">
              <w:rPr>
                <w:sz w:val="20"/>
                <w:szCs w:val="20"/>
              </w:rPr>
              <w:t>Stakeholders voiced the need to understand where the .2 conservation load factor originally came from in 2012 to determine if it is in fact the “right factor</w:t>
            </w:r>
            <w:r w:rsidR="003463A8">
              <w:rPr>
                <w:sz w:val="20"/>
                <w:szCs w:val="20"/>
              </w:rPr>
              <w:t>.</w:t>
            </w:r>
            <w:r w:rsidRPr="00CF0A51">
              <w:rPr>
                <w:sz w:val="20"/>
                <w:szCs w:val="20"/>
              </w:rPr>
              <w:t xml:space="preserve">” Follow up was posted in chat as it was a compromise. Sierra Club, </w:t>
            </w:r>
            <w:r w:rsidRPr="00CF0A51">
              <w:rPr>
                <w:rStyle w:val="ui-provider"/>
                <w:sz w:val="20"/>
                <w:szCs w:val="20"/>
              </w:rPr>
              <w:t xml:space="preserve">Public Citizen and SEED Coalition opined that .2 was too low and suggested .25 or .3 and that it is applied to the entire </w:t>
            </w:r>
            <w:r w:rsidR="00263578" w:rsidRPr="00CF0A51">
              <w:rPr>
                <w:rStyle w:val="ui-provider"/>
                <w:sz w:val="20"/>
                <w:szCs w:val="20"/>
              </w:rPr>
              <w:t>program deman</w:t>
            </w:r>
            <w:r w:rsidR="00263578" w:rsidRPr="00CF0A51">
              <w:rPr>
                <w:rStyle w:val="ui-provider"/>
                <w:sz w:val="20"/>
              </w:rPr>
              <w:t>d</w:t>
            </w:r>
            <w:r w:rsidRPr="00CF0A51">
              <w:rPr>
                <w:rStyle w:val="ui-provider"/>
                <w:sz w:val="20"/>
                <w:szCs w:val="20"/>
              </w:rPr>
              <w:t xml:space="preserve"> savings and not just the minimum peak demand goal. The Cities Serving Oncor recommended proscribe actual energy savings for each program if not costly to do rather than the conservation load factor.</w:t>
            </w:r>
          </w:p>
        </w:tc>
      </w:tr>
      <w:tr w:rsidR="00CF0A51" w:rsidRPr="00CF0A51" w14:paraId="17CABBB8" w14:textId="77777777" w:rsidTr="000E38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1" w:type="dxa"/>
          </w:tcPr>
          <w:p w14:paraId="04718393" w14:textId="77777777" w:rsidR="00CF0A51" w:rsidRPr="00CF0A51" w:rsidRDefault="00CF0A51" w:rsidP="00C87A90">
            <w:pPr>
              <w:rPr>
                <w:sz w:val="20"/>
                <w:szCs w:val="20"/>
              </w:rPr>
            </w:pPr>
            <w:r w:rsidRPr="00CF0A51">
              <w:rPr>
                <w:sz w:val="20"/>
                <w:szCs w:val="20"/>
              </w:rPr>
              <w:t>Geotargeting</w:t>
            </w:r>
          </w:p>
        </w:tc>
        <w:tc>
          <w:tcPr>
            <w:tcW w:w="3394" w:type="dxa"/>
          </w:tcPr>
          <w:p w14:paraId="11D146CB"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rPr>
              <w:t xml:space="preserve">Same as discussed for peak kW. </w:t>
            </w:r>
          </w:p>
        </w:tc>
        <w:tc>
          <w:tcPr>
            <w:tcW w:w="4860" w:type="dxa"/>
          </w:tcPr>
          <w:p w14:paraId="2495898D"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CF0A51" w:rsidRPr="00CF0A51" w14:paraId="29B0C05C" w14:textId="77777777" w:rsidTr="000E38EF">
        <w:trPr>
          <w:jc w:val="center"/>
        </w:trPr>
        <w:tc>
          <w:tcPr>
            <w:cnfStyle w:val="001000000000" w:firstRow="0" w:lastRow="0" w:firstColumn="1" w:lastColumn="0" w:oddVBand="0" w:evenVBand="0" w:oddHBand="0" w:evenHBand="0" w:firstRowFirstColumn="0" w:firstRowLastColumn="0" w:lastRowFirstColumn="0" w:lastRowLastColumn="0"/>
            <w:tcW w:w="1461" w:type="dxa"/>
          </w:tcPr>
          <w:p w14:paraId="57903EFC" w14:textId="77777777" w:rsidR="00CF0A51" w:rsidRPr="00CF0A51" w:rsidRDefault="00CF0A51" w:rsidP="00C87A90">
            <w:pPr>
              <w:rPr>
                <w:sz w:val="20"/>
                <w:szCs w:val="20"/>
              </w:rPr>
            </w:pPr>
            <w:r w:rsidRPr="00CF0A51">
              <w:rPr>
                <w:sz w:val="20"/>
                <w:szCs w:val="20"/>
              </w:rPr>
              <w:t>Calculation of kWh goal.</w:t>
            </w:r>
          </w:p>
        </w:tc>
        <w:tc>
          <w:tcPr>
            <w:tcW w:w="3394" w:type="dxa"/>
          </w:tcPr>
          <w:p w14:paraId="53CD2BC7" w14:textId="77777777" w:rsidR="00CF0A51" w:rsidRPr="00CF0A51" w:rsidRDefault="00CF0A5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F0A51">
              <w:rPr>
                <w:sz w:val="20"/>
                <w:szCs w:val="20"/>
              </w:rPr>
              <w:t>The conservation load factor is used to determine a utility’s energy savings (kWh) goal for the year. To calculate the utility’s energy savings goal, a utility’s demand goal (kW) is first multiplied by the number of hours in the year (8760) and then multiplied by the conservation load factor.</w:t>
            </w:r>
          </w:p>
        </w:tc>
        <w:tc>
          <w:tcPr>
            <w:tcW w:w="4860" w:type="dxa"/>
          </w:tcPr>
          <w:p w14:paraId="01155028" w14:textId="77777777" w:rsidR="00CF0A51" w:rsidRPr="00CF0A51" w:rsidRDefault="00CF0A5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F0A51">
              <w:rPr>
                <w:b/>
                <w:bCs/>
                <w:sz w:val="20"/>
                <w:szCs w:val="20"/>
              </w:rPr>
              <w:t xml:space="preserve">Medium Priority:  </w:t>
            </w:r>
            <w:r w:rsidRPr="00CF0A51">
              <w:rPr>
                <w:sz w:val="20"/>
                <w:szCs w:val="20"/>
              </w:rPr>
              <w:t xml:space="preserve">Stakeholders voiced the need to not add complexity while also recognizing energy savings impacts residential, low Income and HTR customer in a unique way. An out of the box new concept was introduced that piqued interest from many stakeholders, “assigning value to each hour of the year.” </w:t>
            </w:r>
          </w:p>
        </w:tc>
      </w:tr>
      <w:tr w:rsidR="00CF0A51" w:rsidRPr="00CF0A51" w14:paraId="465BCC3C" w14:textId="77777777" w:rsidTr="000E38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1" w:type="dxa"/>
          </w:tcPr>
          <w:p w14:paraId="7CD05B3E" w14:textId="77777777" w:rsidR="00CF0A51" w:rsidRPr="00CF0A51" w:rsidRDefault="00CF0A51" w:rsidP="00C87A90">
            <w:pPr>
              <w:rPr>
                <w:sz w:val="20"/>
                <w:szCs w:val="20"/>
              </w:rPr>
            </w:pPr>
            <w:r w:rsidRPr="00CF0A51">
              <w:rPr>
                <w:sz w:val="20"/>
                <w:szCs w:val="20"/>
              </w:rPr>
              <w:t xml:space="preserve">Priority of kWh Savings </w:t>
            </w:r>
          </w:p>
        </w:tc>
        <w:tc>
          <w:tcPr>
            <w:tcW w:w="3394" w:type="dxa"/>
          </w:tcPr>
          <w:p w14:paraId="60494C59"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rPr>
              <w:t>In Texas the focus is on reduction of kW peak demand with kWh as a secondary goal set in relation to kW goal.</w:t>
            </w:r>
          </w:p>
        </w:tc>
        <w:tc>
          <w:tcPr>
            <w:tcW w:w="4860" w:type="dxa"/>
          </w:tcPr>
          <w:p w14:paraId="7702ED70"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b/>
                <w:bCs/>
                <w:sz w:val="20"/>
                <w:szCs w:val="20"/>
              </w:rPr>
            </w:pPr>
            <w:r w:rsidRPr="00CF0A51">
              <w:rPr>
                <w:b/>
                <w:bCs/>
                <w:sz w:val="20"/>
                <w:szCs w:val="20"/>
              </w:rPr>
              <w:t xml:space="preserve">Low Priority: </w:t>
            </w:r>
            <w:r w:rsidRPr="00CF0A51">
              <w:rPr>
                <w:sz w:val="20"/>
                <w:szCs w:val="20"/>
              </w:rPr>
              <w:t>Stakeholders voiced agreement that kW Demand savings is a priority in Texas however utilities are providing kWh savings programs and recognize it as a combined effort.</w:t>
            </w:r>
          </w:p>
        </w:tc>
      </w:tr>
    </w:tbl>
    <w:p w14:paraId="6962723A" w14:textId="76F5B891" w:rsidR="00CF0A51" w:rsidRPr="008E2860" w:rsidRDefault="00CF0A51" w:rsidP="00CF0A51">
      <w:r>
        <w:t xml:space="preserve">For each identified key issue above, the following table summarizes areas of agreement, multiple perspectives expressed and changes that could be needed. </w:t>
      </w:r>
      <w:r w:rsidR="000E38EF">
        <w:br/>
      </w:r>
    </w:p>
    <w:tbl>
      <w:tblPr>
        <w:tblStyle w:val="GridTable4-Accent5"/>
        <w:tblW w:w="971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25"/>
        <w:gridCol w:w="1890"/>
        <w:gridCol w:w="2773"/>
        <w:gridCol w:w="1778"/>
        <w:gridCol w:w="1749"/>
      </w:tblGrid>
      <w:tr w:rsidR="005736CA" w:rsidRPr="00CF0A51" w14:paraId="0D273160" w14:textId="77777777" w:rsidTr="000E38E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525" w:type="dxa"/>
            <w:tcBorders>
              <w:top w:val="none" w:sz="0" w:space="0" w:color="auto"/>
              <w:left w:val="none" w:sz="0" w:space="0" w:color="auto"/>
              <w:bottom w:val="none" w:sz="0" w:space="0" w:color="auto"/>
              <w:right w:val="none" w:sz="0" w:space="0" w:color="auto"/>
            </w:tcBorders>
            <w:shd w:val="clear" w:color="auto" w:fill="25408F"/>
            <w:vAlign w:val="bottom"/>
          </w:tcPr>
          <w:p w14:paraId="00C50E3D" w14:textId="4842B8AD" w:rsidR="00CF0A51" w:rsidRPr="00CF0A51" w:rsidRDefault="000E38EF" w:rsidP="00414455">
            <w:pPr>
              <w:pStyle w:val="TT-TableHeading"/>
              <w:rPr>
                <w:bCs/>
              </w:rPr>
            </w:pPr>
            <w:r w:rsidRPr="00CF0A51">
              <w:t>Key issue</w:t>
            </w:r>
          </w:p>
        </w:tc>
        <w:tc>
          <w:tcPr>
            <w:tcW w:w="1890" w:type="dxa"/>
            <w:tcBorders>
              <w:top w:val="none" w:sz="0" w:space="0" w:color="auto"/>
              <w:left w:val="none" w:sz="0" w:space="0" w:color="auto"/>
              <w:bottom w:val="none" w:sz="0" w:space="0" w:color="auto"/>
              <w:right w:val="none" w:sz="0" w:space="0" w:color="auto"/>
            </w:tcBorders>
            <w:shd w:val="clear" w:color="auto" w:fill="25408F"/>
            <w:vAlign w:val="bottom"/>
          </w:tcPr>
          <w:p w14:paraId="22BFF49B" w14:textId="00CD0CC0" w:rsidR="00CF0A51" w:rsidRPr="00CF0A51" w:rsidRDefault="000E38EF" w:rsidP="00414455">
            <w:pPr>
              <w:pStyle w:val="TT-TableHeading"/>
              <w:cnfStyle w:val="100000000000" w:firstRow="1" w:lastRow="0" w:firstColumn="0" w:lastColumn="0" w:oddVBand="0" w:evenVBand="0" w:oddHBand="0" w:evenHBand="0" w:firstRowFirstColumn="0" w:firstRowLastColumn="0" w:lastRowFirstColumn="0" w:lastRowLastColumn="0"/>
              <w:rPr>
                <w:bCs/>
              </w:rPr>
            </w:pPr>
            <w:r w:rsidRPr="00CF0A51">
              <w:t>Areas of agreement</w:t>
            </w:r>
          </w:p>
        </w:tc>
        <w:tc>
          <w:tcPr>
            <w:tcW w:w="2773" w:type="dxa"/>
            <w:tcBorders>
              <w:top w:val="none" w:sz="0" w:space="0" w:color="auto"/>
              <w:left w:val="none" w:sz="0" w:space="0" w:color="auto"/>
              <w:bottom w:val="none" w:sz="0" w:space="0" w:color="auto"/>
              <w:right w:val="none" w:sz="0" w:space="0" w:color="auto"/>
            </w:tcBorders>
            <w:shd w:val="clear" w:color="auto" w:fill="25408F"/>
            <w:vAlign w:val="bottom"/>
          </w:tcPr>
          <w:p w14:paraId="3917ABDC" w14:textId="17C32613" w:rsidR="00CF0A51" w:rsidRPr="00CF0A51" w:rsidRDefault="000E38EF" w:rsidP="00414455">
            <w:pPr>
              <w:pStyle w:val="TT-TableHeading"/>
              <w:cnfStyle w:val="100000000000" w:firstRow="1" w:lastRow="0" w:firstColumn="0" w:lastColumn="0" w:oddVBand="0" w:evenVBand="0" w:oddHBand="0" w:evenHBand="0" w:firstRowFirstColumn="0" w:firstRowLastColumn="0" w:lastRowFirstColumn="0" w:lastRowLastColumn="0"/>
              <w:rPr>
                <w:bCs/>
              </w:rPr>
            </w:pPr>
            <w:r w:rsidRPr="00CF0A51">
              <w:t>Areas of debate</w:t>
            </w:r>
          </w:p>
        </w:tc>
        <w:tc>
          <w:tcPr>
            <w:tcW w:w="1778" w:type="dxa"/>
            <w:tcBorders>
              <w:top w:val="none" w:sz="0" w:space="0" w:color="auto"/>
              <w:left w:val="none" w:sz="0" w:space="0" w:color="auto"/>
              <w:bottom w:val="none" w:sz="0" w:space="0" w:color="auto"/>
              <w:right w:val="none" w:sz="0" w:space="0" w:color="auto"/>
            </w:tcBorders>
            <w:shd w:val="clear" w:color="auto" w:fill="25408F"/>
            <w:vAlign w:val="bottom"/>
          </w:tcPr>
          <w:p w14:paraId="5C28FC30" w14:textId="62652E68" w:rsidR="00CF0A51" w:rsidRPr="00CF0A51" w:rsidRDefault="000E38EF" w:rsidP="00414455">
            <w:pPr>
              <w:pStyle w:val="TT-TableHeading"/>
              <w:cnfStyle w:val="100000000000" w:firstRow="1" w:lastRow="0" w:firstColumn="0" w:lastColumn="0" w:oddVBand="0" w:evenVBand="0" w:oddHBand="0" w:evenHBand="0" w:firstRowFirstColumn="0" w:firstRowLastColumn="0" w:lastRowFirstColumn="0" w:lastRowLastColumn="0"/>
              <w:rPr>
                <w:bCs/>
              </w:rPr>
            </w:pPr>
            <w:r w:rsidRPr="00CF0A51">
              <w:t xml:space="preserve">Would this require legislation or rulemaking? If so, what? </w:t>
            </w:r>
          </w:p>
        </w:tc>
        <w:tc>
          <w:tcPr>
            <w:tcW w:w="1749" w:type="dxa"/>
            <w:tcBorders>
              <w:top w:val="none" w:sz="0" w:space="0" w:color="auto"/>
              <w:left w:val="none" w:sz="0" w:space="0" w:color="auto"/>
              <w:bottom w:val="none" w:sz="0" w:space="0" w:color="auto"/>
              <w:right w:val="none" w:sz="0" w:space="0" w:color="auto"/>
            </w:tcBorders>
            <w:shd w:val="clear" w:color="auto" w:fill="25408F"/>
            <w:vAlign w:val="bottom"/>
          </w:tcPr>
          <w:p w14:paraId="2B5F96C1" w14:textId="77777777" w:rsidR="00CF0A51" w:rsidRPr="00CF0A51" w:rsidRDefault="00CF0A51" w:rsidP="00414455">
            <w:pPr>
              <w:pStyle w:val="TT-TableHeading"/>
              <w:cnfStyle w:val="100000000000" w:firstRow="1" w:lastRow="0" w:firstColumn="0" w:lastColumn="0" w:oddVBand="0" w:evenVBand="0" w:oddHBand="0" w:evenHBand="0" w:firstRowFirstColumn="0" w:firstRowLastColumn="0" w:lastRowFirstColumn="0" w:lastRowLastColumn="0"/>
            </w:pPr>
            <w:r w:rsidRPr="00CF0A51">
              <w:t>Could another process address?</w:t>
            </w:r>
          </w:p>
        </w:tc>
      </w:tr>
      <w:tr w:rsidR="005736CA" w:rsidRPr="00CF0A51" w14:paraId="35464AFB" w14:textId="77777777" w:rsidTr="000E38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39DD963" w14:textId="77777777" w:rsidR="00CF0A51" w:rsidRPr="00CF0A51" w:rsidRDefault="00CF0A51" w:rsidP="00C87A90">
            <w:pPr>
              <w:rPr>
                <w:sz w:val="20"/>
                <w:szCs w:val="20"/>
              </w:rPr>
            </w:pPr>
            <w:r w:rsidRPr="00CF0A51">
              <w:rPr>
                <w:sz w:val="20"/>
                <w:szCs w:val="20"/>
              </w:rPr>
              <w:t xml:space="preserve">Level of kWh Goals </w:t>
            </w:r>
          </w:p>
        </w:tc>
        <w:tc>
          <w:tcPr>
            <w:tcW w:w="1890" w:type="dxa"/>
          </w:tcPr>
          <w:p w14:paraId="49A97691"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rPr>
              <w:t>Stakeholders agree that there are many interrelated moving parts. The Group must understand how kW Demand Definitions and Demand Response programs will be “claimed” before revising kWh goals.</w:t>
            </w:r>
          </w:p>
          <w:p w14:paraId="05367D15"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p>
          <w:p w14:paraId="16695165"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p>
        </w:tc>
        <w:tc>
          <w:tcPr>
            <w:tcW w:w="2773" w:type="dxa"/>
          </w:tcPr>
          <w:p w14:paraId="61643D19"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 xml:space="preserve">Perspective 1: </w:t>
            </w:r>
            <w:r w:rsidRPr="00CF0A51">
              <w:rPr>
                <w:sz w:val="20"/>
                <w:szCs w:val="20"/>
              </w:rPr>
              <w:t xml:space="preserve">kWh goals are set too low. Getting to 1% energy savings over several years would put Texas in the middle of the “pack” comparing to other states. SPEER has a report that shows the percent saved of annual savings for Texas IOUs. </w:t>
            </w:r>
          </w:p>
          <w:p w14:paraId="62F1877D"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Perspective 2:</w:t>
            </w:r>
            <w:r w:rsidRPr="00CF0A51">
              <w:rPr>
                <w:sz w:val="20"/>
                <w:szCs w:val="20"/>
              </w:rPr>
              <w:t xml:space="preserve"> Residential home energy bills are based on kWhs not kW demand. Most customers don’t understand demand savings. We need to set goals/targets to help them realize savings and understand the benefits to them.</w:t>
            </w:r>
          </w:p>
          <w:p w14:paraId="64314CEA"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Perspective 3:</w:t>
            </w:r>
            <w:r w:rsidRPr="00CF0A51">
              <w:rPr>
                <w:sz w:val="20"/>
                <w:szCs w:val="20"/>
              </w:rPr>
              <w:t xml:space="preserve"> Targeting kWh savings to low income, small businesses, hard to reach customers should be the "deliberate” focus of the kWh goal.</w:t>
            </w:r>
          </w:p>
          <w:p w14:paraId="5CF6BAEF"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Perspective 4:</w:t>
            </w:r>
            <w:r w:rsidRPr="00CF0A51">
              <w:rPr>
                <w:sz w:val="20"/>
                <w:szCs w:val="20"/>
              </w:rPr>
              <w:t xml:space="preserve"> Rising program costs (due to code changes affecting lighting and HVAC measures) will have an impact on traditional customers and HTR segments – achieving kWh savings will become more expensive and harder to achieve.</w:t>
            </w:r>
          </w:p>
          <w:p w14:paraId="205394D8"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rPr>
              <w:t>Perspective 5: If options are implemented to recognize changes in efficiency standards, it is important to keep in mind that these changes will be felt over time rather than all at once, so program changes can likewise be made incrementally over time rather than all at once.</w:t>
            </w:r>
          </w:p>
        </w:tc>
        <w:tc>
          <w:tcPr>
            <w:tcW w:w="1778" w:type="dxa"/>
          </w:tcPr>
          <w:p w14:paraId="4181F62A"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rPr>
              <w:t xml:space="preserve">No Legislative Changes – the legislation does not address kWh so this can be addressed in a rulemaking. </w:t>
            </w:r>
          </w:p>
        </w:tc>
        <w:tc>
          <w:tcPr>
            <w:tcW w:w="1749" w:type="dxa"/>
          </w:tcPr>
          <w:p w14:paraId="31CD8A7A" w14:textId="77777777" w:rsidR="00CF0A51" w:rsidRPr="00CF0A51" w:rsidRDefault="00CF0A5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rPr>
              <w:t>Stakeholders seem to agree that there may be other options than creating a new kWh goal such as increasing the conservation load factor or assuring energy savings through other goals (i.e., low-income and hard-to-reach or load management caps).</w:t>
            </w:r>
          </w:p>
        </w:tc>
      </w:tr>
      <w:tr w:rsidR="000E38EF" w:rsidRPr="00CF0A51" w14:paraId="2F2E2444" w14:textId="77777777" w:rsidTr="000E38EF">
        <w:tc>
          <w:tcPr>
            <w:cnfStyle w:val="001000000000" w:firstRow="0" w:lastRow="0" w:firstColumn="1" w:lastColumn="0" w:oddVBand="0" w:evenVBand="0" w:oddHBand="0" w:evenHBand="0" w:firstRowFirstColumn="0" w:firstRowLastColumn="0" w:lastRowFirstColumn="0" w:lastRowLastColumn="0"/>
            <w:tcW w:w="1525" w:type="dxa"/>
            <w:shd w:val="clear" w:color="auto" w:fill="25408F"/>
            <w:vAlign w:val="bottom"/>
          </w:tcPr>
          <w:p w14:paraId="3801342E" w14:textId="7B5E102E" w:rsidR="000E38EF" w:rsidRPr="000E38EF" w:rsidRDefault="000E38EF" w:rsidP="000E38EF">
            <w:pPr>
              <w:pStyle w:val="TT-TableHeading"/>
              <w:rPr>
                <w:bCs/>
              </w:rPr>
            </w:pPr>
            <w:r w:rsidRPr="000E38EF">
              <w:rPr>
                <w:bCs/>
              </w:rPr>
              <w:t>Key issue</w:t>
            </w:r>
          </w:p>
        </w:tc>
        <w:tc>
          <w:tcPr>
            <w:tcW w:w="1890" w:type="dxa"/>
            <w:shd w:val="clear" w:color="auto" w:fill="25408F"/>
            <w:vAlign w:val="bottom"/>
          </w:tcPr>
          <w:p w14:paraId="213BA001" w14:textId="25790BD6" w:rsidR="000E38EF" w:rsidRPr="000E38EF"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0E38EF">
              <w:t>Areas of agreement</w:t>
            </w:r>
          </w:p>
        </w:tc>
        <w:tc>
          <w:tcPr>
            <w:tcW w:w="2773" w:type="dxa"/>
            <w:shd w:val="clear" w:color="auto" w:fill="25408F"/>
            <w:vAlign w:val="bottom"/>
          </w:tcPr>
          <w:p w14:paraId="0776114C" w14:textId="2314CC97" w:rsidR="000E38EF" w:rsidRPr="000E38EF" w:rsidRDefault="000E38EF" w:rsidP="000E38EF">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0E38EF">
              <w:t>Areas of debate</w:t>
            </w:r>
          </w:p>
        </w:tc>
        <w:tc>
          <w:tcPr>
            <w:tcW w:w="1778" w:type="dxa"/>
            <w:shd w:val="clear" w:color="auto" w:fill="25408F"/>
            <w:vAlign w:val="bottom"/>
          </w:tcPr>
          <w:p w14:paraId="5782364C" w14:textId="3936C147" w:rsidR="000E38EF" w:rsidRPr="000E38EF"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0E38EF">
              <w:t xml:space="preserve">Would this require legislation or rulemaking? If so, what? </w:t>
            </w:r>
          </w:p>
        </w:tc>
        <w:tc>
          <w:tcPr>
            <w:tcW w:w="1749" w:type="dxa"/>
            <w:shd w:val="clear" w:color="auto" w:fill="25408F"/>
            <w:vAlign w:val="bottom"/>
          </w:tcPr>
          <w:p w14:paraId="3969E976" w14:textId="01EF196B" w:rsidR="000E38EF" w:rsidRPr="000E38EF"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0E38EF">
              <w:t>Could another process address?</w:t>
            </w:r>
          </w:p>
        </w:tc>
      </w:tr>
      <w:tr w:rsidR="000E38EF" w:rsidRPr="00CF0A51" w14:paraId="261D3702" w14:textId="77777777" w:rsidTr="007E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shd w:val="clear" w:color="auto" w:fill="FFFFFF" w:themeFill="background1"/>
          </w:tcPr>
          <w:p w14:paraId="64B73ECC" w14:textId="77777777" w:rsidR="000E38EF" w:rsidRPr="00CF0A51" w:rsidRDefault="000E38EF" w:rsidP="000E38EF">
            <w:pPr>
              <w:rPr>
                <w:sz w:val="20"/>
                <w:szCs w:val="20"/>
              </w:rPr>
            </w:pPr>
            <w:r w:rsidRPr="00CF0A51">
              <w:rPr>
                <w:sz w:val="20"/>
                <w:szCs w:val="20"/>
              </w:rPr>
              <w:t>Issue 2: Energy Conservation Load Factor (ECLF)</w:t>
            </w:r>
            <w:r w:rsidRPr="00CF0A51" w:rsidDel="004713B0">
              <w:rPr>
                <w:sz w:val="20"/>
                <w:szCs w:val="20"/>
              </w:rPr>
              <w:t xml:space="preserve"> </w:t>
            </w:r>
          </w:p>
        </w:tc>
        <w:tc>
          <w:tcPr>
            <w:tcW w:w="1890" w:type="dxa"/>
            <w:shd w:val="clear" w:color="auto" w:fill="FFFFFF" w:themeFill="background1"/>
          </w:tcPr>
          <w:p w14:paraId="2C1DA853" w14:textId="77777777" w:rsidR="000E38EF" w:rsidRDefault="000E38EF" w:rsidP="000E38EF">
            <w:pPr>
              <w:spacing w:before="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sz w:val="20"/>
              </w:rPr>
              <w:t>The ECLF concept is to measure kWh achievement relative to kW demand achievement.</w:t>
            </w:r>
            <w:r>
              <w:rPr>
                <w:rFonts w:ascii="Times New Roman" w:hAnsi="Times New Roman" w:cs="Times New Roman"/>
                <w:sz w:val="24"/>
                <w:szCs w:val="24"/>
              </w:rPr>
              <w:t xml:space="preserve"> </w:t>
            </w:r>
          </w:p>
          <w:p w14:paraId="64F0FA1D" w14:textId="56EC52E6"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rPr>
              <w:t xml:space="preserve">Stakeholders agree the .2 </w:t>
            </w:r>
            <w:r>
              <w:rPr>
                <w:sz w:val="20"/>
                <w:szCs w:val="20"/>
              </w:rPr>
              <w:t xml:space="preserve">used in the ECLF should be re-considered. </w:t>
            </w:r>
          </w:p>
        </w:tc>
        <w:tc>
          <w:tcPr>
            <w:tcW w:w="2773" w:type="dxa"/>
            <w:shd w:val="clear" w:color="auto" w:fill="FFFFFF" w:themeFill="background1"/>
          </w:tcPr>
          <w:p w14:paraId="0BB81ADB" w14:textId="2C1917BA"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Perspective 1:</w:t>
            </w:r>
            <w:r w:rsidRPr="00CF0A51">
              <w:rPr>
                <w:sz w:val="20"/>
                <w:szCs w:val="20"/>
              </w:rPr>
              <w:t xml:space="preserve"> Per Commission (Summarized Response) in Project </w:t>
            </w:r>
            <w:r>
              <w:rPr>
                <w:sz w:val="20"/>
                <w:szCs w:val="20"/>
              </w:rPr>
              <w:t>No.</w:t>
            </w:r>
            <w:r w:rsidRPr="00CF0A51">
              <w:rPr>
                <w:sz w:val="20"/>
                <w:szCs w:val="20"/>
              </w:rPr>
              <w:t xml:space="preserve"> 39674 keeping .2 tied to Peak Demand Goal: </w:t>
            </w:r>
          </w:p>
          <w:p w14:paraId="30EB01C0" w14:textId="77777777" w:rsidR="000E38EF" w:rsidRPr="00CF0A51" w:rsidRDefault="000E38EF" w:rsidP="000E38EF">
            <w:pPr>
              <w:pStyle w:val="ListParagraph"/>
              <w:numPr>
                <w:ilvl w:val="0"/>
                <w:numId w:val="33"/>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F0A51">
              <w:rPr>
                <w:rFonts w:ascii="Arial" w:hAnsi="Arial" w:cs="Arial"/>
                <w:sz w:val="20"/>
                <w:szCs w:val="20"/>
              </w:rPr>
              <w:t xml:space="preserve">The ECLF establishes the minimum kWh savings a utility must acquire. </w:t>
            </w:r>
          </w:p>
          <w:p w14:paraId="42AEF373" w14:textId="77777777" w:rsidR="000E38EF" w:rsidRPr="00CF0A51" w:rsidRDefault="000E38EF" w:rsidP="000E38EF">
            <w:pPr>
              <w:pStyle w:val="ListParagraph"/>
              <w:numPr>
                <w:ilvl w:val="0"/>
                <w:numId w:val="33"/>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F0A51">
              <w:rPr>
                <w:rFonts w:ascii="Arial" w:hAnsi="Arial" w:cs="Arial"/>
                <w:sz w:val="20"/>
                <w:szCs w:val="20"/>
              </w:rPr>
              <w:t>Utilities are “awarded” a performance bonus for exceeding the minimum while staying below cost caps.</w:t>
            </w:r>
          </w:p>
          <w:p w14:paraId="4CBE4E4E" w14:textId="77777777" w:rsidR="000E38EF" w:rsidRPr="00CF0A51" w:rsidRDefault="000E38EF" w:rsidP="000E38EF">
            <w:pPr>
              <w:pStyle w:val="ListParagraph"/>
              <w:numPr>
                <w:ilvl w:val="0"/>
                <w:numId w:val="33"/>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CF0A51">
              <w:rPr>
                <w:rFonts w:ascii="Arial" w:hAnsi="Arial" w:cs="Arial"/>
                <w:sz w:val="20"/>
                <w:szCs w:val="20"/>
              </w:rPr>
              <w:t>Increasing the ECLF will increase program costs. .2 balances the benefits of energy savings with the costs of the program.</w:t>
            </w:r>
          </w:p>
          <w:p w14:paraId="0B04E9D1" w14:textId="77777777" w:rsidR="000E38EF" w:rsidRPr="00CF0A51" w:rsidRDefault="000E38EF"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 xml:space="preserve">Perspective 2: </w:t>
            </w:r>
            <w:r w:rsidRPr="00CF0A51">
              <w:rPr>
                <w:sz w:val="20"/>
                <w:szCs w:val="20"/>
              </w:rPr>
              <w:t>The ECLF should be increased as .2 is just too low. (Suggestions have ranged from 25%-40%)</w:t>
            </w:r>
          </w:p>
          <w:p w14:paraId="1FC0CE37" w14:textId="43351A6B"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 xml:space="preserve">Perspective 3: </w:t>
            </w:r>
            <w:r w:rsidRPr="00CF0A51">
              <w:rPr>
                <w:sz w:val="20"/>
                <w:szCs w:val="20"/>
              </w:rPr>
              <w:t xml:space="preserve">The ECLF should be applied to the peak demand achieved rather than the peak demand goal. </w:t>
            </w:r>
          </w:p>
          <w:p w14:paraId="0745162D"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Perspective 4:</w:t>
            </w:r>
            <w:r w:rsidRPr="00CF0A51">
              <w:rPr>
                <w:sz w:val="20"/>
                <w:szCs w:val="20"/>
              </w:rPr>
              <w:t xml:space="preserve"> Given changing baselines .2 and applying it to the Peak Demand Goal seems to be the right level. Changing this may have unintended consequences. We really need to do more analysis if we are going to adjust it.</w:t>
            </w:r>
          </w:p>
          <w:p w14:paraId="0C5BCF07" w14:textId="37EE5994"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 xml:space="preserve">Perspective 5: </w:t>
            </w:r>
            <w:r w:rsidRPr="00CF0A51">
              <w:rPr>
                <w:sz w:val="20"/>
                <w:szCs w:val="20"/>
              </w:rPr>
              <w:t>This is a unique way of setting a</w:t>
            </w:r>
            <w:r>
              <w:rPr>
                <w:sz w:val="20"/>
                <w:szCs w:val="20"/>
              </w:rPr>
              <w:t>n energy savings</w:t>
            </w:r>
            <w:r w:rsidRPr="00CF0A51">
              <w:rPr>
                <w:sz w:val="20"/>
                <w:szCs w:val="20"/>
              </w:rPr>
              <w:t xml:space="preserve"> goal. In some ways it really streamlines the process avoiding a costly potential/goal study that can falsely overstate how one technology will achieve those goals. </w:t>
            </w:r>
          </w:p>
        </w:tc>
        <w:tc>
          <w:tcPr>
            <w:tcW w:w="1778" w:type="dxa"/>
            <w:shd w:val="clear" w:color="auto" w:fill="FFFFFF" w:themeFill="background1"/>
          </w:tcPr>
          <w:p w14:paraId="3921E515" w14:textId="68A4DFE9"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Pr="00CF0A51">
              <w:rPr>
                <w:sz w:val="20"/>
                <w:szCs w:val="20"/>
              </w:rPr>
              <w:t>(c)(6) definition of Conservation Load Factor</w:t>
            </w:r>
          </w:p>
          <w:p w14:paraId="645E308A"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p>
          <w:p w14:paraId="0C791D24" w14:textId="2AE88806"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i/>
                <w:iCs/>
                <w:sz w:val="20"/>
                <w:szCs w:val="20"/>
              </w:rPr>
            </w:pPr>
            <w:r w:rsidRPr="00CF0A51">
              <w:rPr>
                <w:sz w:val="20"/>
                <w:szCs w:val="20"/>
              </w:rPr>
              <w:t xml:space="preserve">History: Oncor counsel &amp; Sierra Club provided Project </w:t>
            </w:r>
            <w:r>
              <w:rPr>
                <w:sz w:val="20"/>
                <w:szCs w:val="20"/>
              </w:rPr>
              <w:t>No.</w:t>
            </w:r>
            <w:r w:rsidRPr="00CF0A51">
              <w:rPr>
                <w:sz w:val="20"/>
                <w:szCs w:val="20"/>
              </w:rPr>
              <w:t xml:space="preserve"> 39674 Amendment to </w:t>
            </w:r>
            <w:r>
              <w:rPr>
                <w:sz w:val="20"/>
                <w:szCs w:val="20"/>
              </w:rPr>
              <w:t>16 TAC §25.181</w:t>
            </w:r>
            <w:r w:rsidRPr="00CF0A51">
              <w:rPr>
                <w:sz w:val="20"/>
                <w:szCs w:val="20"/>
              </w:rPr>
              <w:t xml:space="preserve">(2012) PG 81 of 283 Discusses </w:t>
            </w:r>
            <w:r w:rsidRPr="00CF0A51">
              <w:rPr>
                <w:i/>
                <w:iCs/>
                <w:sz w:val="20"/>
                <w:szCs w:val="20"/>
              </w:rPr>
              <w:t>subsection (e)(4) Conservation Load Factor</w:t>
            </w:r>
          </w:p>
          <w:p w14:paraId="1D5F9CFC"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p>
          <w:p w14:paraId="78163E25"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p>
        </w:tc>
        <w:tc>
          <w:tcPr>
            <w:tcW w:w="1749" w:type="dxa"/>
            <w:shd w:val="clear" w:color="auto" w:fill="FFFFFF" w:themeFill="background1"/>
          </w:tcPr>
          <w:p w14:paraId="085B000A"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p>
        </w:tc>
      </w:tr>
      <w:tr w:rsidR="000E38EF" w:rsidRPr="00CF0A51" w14:paraId="014CC1B3" w14:textId="77777777" w:rsidTr="000E38EF">
        <w:tc>
          <w:tcPr>
            <w:cnfStyle w:val="001000000000" w:firstRow="0" w:lastRow="0" w:firstColumn="1" w:lastColumn="0" w:oddVBand="0" w:evenVBand="0" w:oddHBand="0" w:evenHBand="0" w:firstRowFirstColumn="0" w:firstRowLastColumn="0" w:lastRowFirstColumn="0" w:lastRowLastColumn="0"/>
            <w:tcW w:w="1525" w:type="dxa"/>
            <w:shd w:val="clear" w:color="auto" w:fill="25408F"/>
            <w:vAlign w:val="bottom"/>
          </w:tcPr>
          <w:p w14:paraId="518FBA0A" w14:textId="1139E0A6" w:rsidR="000E38EF" w:rsidRPr="00CF0A51" w:rsidRDefault="000E38EF" w:rsidP="000E38EF">
            <w:pPr>
              <w:pStyle w:val="TT-TableHeading"/>
            </w:pPr>
            <w:r w:rsidRPr="00CF0A51">
              <w:t xml:space="preserve">Key </w:t>
            </w:r>
            <w:r>
              <w:t>i</w:t>
            </w:r>
            <w:r w:rsidRPr="00CF0A51">
              <w:t>ssue</w:t>
            </w:r>
          </w:p>
        </w:tc>
        <w:tc>
          <w:tcPr>
            <w:tcW w:w="1890" w:type="dxa"/>
            <w:shd w:val="clear" w:color="auto" w:fill="25408F"/>
            <w:vAlign w:val="bottom"/>
          </w:tcPr>
          <w:p w14:paraId="11E0E508" w14:textId="17583085" w:rsidR="000E38EF" w:rsidRPr="00CF0A51"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CF0A51">
              <w:t xml:space="preserve">Areas of </w:t>
            </w:r>
            <w:r>
              <w:t>a</w:t>
            </w:r>
            <w:r w:rsidRPr="00CF0A51">
              <w:t>greement</w:t>
            </w:r>
          </w:p>
        </w:tc>
        <w:tc>
          <w:tcPr>
            <w:tcW w:w="2773" w:type="dxa"/>
            <w:shd w:val="clear" w:color="auto" w:fill="25408F"/>
            <w:vAlign w:val="bottom"/>
          </w:tcPr>
          <w:p w14:paraId="7BBF1DBF" w14:textId="769DAB48" w:rsidR="000E38EF" w:rsidRPr="00CF0A51" w:rsidRDefault="000E38EF" w:rsidP="000E38EF">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CF0A51">
              <w:t xml:space="preserve">Areas of </w:t>
            </w:r>
            <w:r>
              <w:t>d</w:t>
            </w:r>
            <w:r w:rsidRPr="00CF0A51">
              <w:t>ebate</w:t>
            </w:r>
          </w:p>
        </w:tc>
        <w:tc>
          <w:tcPr>
            <w:tcW w:w="1778" w:type="dxa"/>
            <w:shd w:val="clear" w:color="auto" w:fill="25408F"/>
            <w:vAlign w:val="bottom"/>
          </w:tcPr>
          <w:p w14:paraId="6DE53147" w14:textId="2C02CCAA" w:rsidR="000E38EF" w:rsidRPr="00CF0A51" w:rsidDel="004713B0"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CF0A51">
              <w:t xml:space="preserve">Would this require legislation or rulemaking? If so, what? </w:t>
            </w:r>
          </w:p>
        </w:tc>
        <w:tc>
          <w:tcPr>
            <w:tcW w:w="1749" w:type="dxa"/>
            <w:shd w:val="clear" w:color="auto" w:fill="25408F"/>
            <w:vAlign w:val="bottom"/>
          </w:tcPr>
          <w:p w14:paraId="0CA06B9B" w14:textId="5916CC66" w:rsidR="000E38EF" w:rsidRPr="00CF0A51"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CF0A51">
              <w:t>Could another process address?</w:t>
            </w:r>
          </w:p>
        </w:tc>
      </w:tr>
      <w:tr w:rsidR="000E38EF" w:rsidRPr="00CF0A51" w14:paraId="01D0707E" w14:textId="77777777" w:rsidTr="000E38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9D4041E" w14:textId="77777777" w:rsidR="000E38EF" w:rsidRPr="00CF0A51" w:rsidRDefault="000E38EF" w:rsidP="000E38EF">
            <w:pPr>
              <w:rPr>
                <w:sz w:val="20"/>
                <w:szCs w:val="20"/>
              </w:rPr>
            </w:pPr>
            <w:r w:rsidRPr="00CF0A51">
              <w:rPr>
                <w:sz w:val="20"/>
                <w:szCs w:val="20"/>
              </w:rPr>
              <w:t xml:space="preserve">Issue 3: Priority of kWh Savings </w:t>
            </w:r>
          </w:p>
        </w:tc>
        <w:tc>
          <w:tcPr>
            <w:tcW w:w="1890" w:type="dxa"/>
          </w:tcPr>
          <w:p w14:paraId="65AEDC2C" w14:textId="48479866"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rPr>
              <w:t>Stakeholders agree that kW demand reductions is the most important goal and agree that there are kWh savings that follow Peak demand reductions</w:t>
            </w:r>
            <w:r w:rsidRPr="00CF0A51">
              <w:rPr>
                <w:sz w:val="20"/>
              </w:rPr>
              <w:t>,</w:t>
            </w:r>
            <w:r w:rsidRPr="00CF0A51">
              <w:rPr>
                <w:sz w:val="20"/>
                <w:szCs w:val="20"/>
              </w:rPr>
              <w:t xml:space="preserve"> but that kWh savings are most important to customer</w:t>
            </w:r>
          </w:p>
          <w:p w14:paraId="004165B2" w14:textId="77777777" w:rsidR="000E38EF" w:rsidRPr="00CF0A51" w:rsidDel="004713B0"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p>
        </w:tc>
        <w:tc>
          <w:tcPr>
            <w:tcW w:w="2773" w:type="dxa"/>
          </w:tcPr>
          <w:p w14:paraId="67E70BBE"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Perspective 1:</w:t>
            </w:r>
            <w:r w:rsidRPr="00CF0A51">
              <w:rPr>
                <w:sz w:val="20"/>
                <w:szCs w:val="20"/>
              </w:rPr>
              <w:t xml:space="preserve"> If there was a transition to focus on kWh savings it is important to recognize that program costs will go up. Prior program years had the benefit of lighting and HVAC measures that will be harder with code/baseline changes. </w:t>
            </w:r>
          </w:p>
          <w:p w14:paraId="487209E0" w14:textId="2A1CB854"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Perspective 2:</w:t>
            </w:r>
            <w:r w:rsidRPr="00CF0A51">
              <w:rPr>
                <w:sz w:val="20"/>
                <w:szCs w:val="20"/>
              </w:rPr>
              <w:t xml:space="preserve"> If the goal goes up it will be even more important that cost effectiveness is looked at “program vs. portfolio, “so those higher cost measures/offerings can be included. </w:t>
            </w:r>
          </w:p>
        </w:tc>
        <w:tc>
          <w:tcPr>
            <w:tcW w:w="1778" w:type="dxa"/>
          </w:tcPr>
          <w:p w14:paraId="59F1A187" w14:textId="77777777" w:rsidR="000E38EF" w:rsidRPr="00CF0A51" w:rsidDel="004713B0"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p>
        </w:tc>
        <w:tc>
          <w:tcPr>
            <w:tcW w:w="1749" w:type="dxa"/>
          </w:tcPr>
          <w:p w14:paraId="25CE9901"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p>
        </w:tc>
      </w:tr>
      <w:tr w:rsidR="000E38EF" w:rsidRPr="00CF0A51" w14:paraId="677CC599" w14:textId="77777777" w:rsidTr="000E38EF">
        <w:tc>
          <w:tcPr>
            <w:cnfStyle w:val="001000000000" w:firstRow="0" w:lastRow="0" w:firstColumn="1" w:lastColumn="0" w:oddVBand="0" w:evenVBand="0" w:oddHBand="0" w:evenHBand="0" w:firstRowFirstColumn="0" w:firstRowLastColumn="0" w:lastRowFirstColumn="0" w:lastRowLastColumn="0"/>
            <w:tcW w:w="1525" w:type="dxa"/>
            <w:shd w:val="clear" w:color="auto" w:fill="25408F"/>
            <w:vAlign w:val="bottom"/>
          </w:tcPr>
          <w:p w14:paraId="6C085F0A" w14:textId="13061547" w:rsidR="000E38EF" w:rsidRPr="00CF0A51" w:rsidRDefault="000E38EF" w:rsidP="000E38EF">
            <w:pPr>
              <w:pStyle w:val="TT-TableHeading"/>
            </w:pPr>
            <w:r w:rsidRPr="00CF0A51">
              <w:t>Key issue</w:t>
            </w:r>
          </w:p>
        </w:tc>
        <w:tc>
          <w:tcPr>
            <w:tcW w:w="1890" w:type="dxa"/>
            <w:shd w:val="clear" w:color="auto" w:fill="25408F"/>
            <w:vAlign w:val="bottom"/>
          </w:tcPr>
          <w:p w14:paraId="1832E6C6" w14:textId="00928E73" w:rsidR="000E38EF" w:rsidRPr="00CF0A51"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CF0A51">
              <w:t>Areas of agreement</w:t>
            </w:r>
          </w:p>
        </w:tc>
        <w:tc>
          <w:tcPr>
            <w:tcW w:w="2773" w:type="dxa"/>
            <w:shd w:val="clear" w:color="auto" w:fill="25408F"/>
            <w:vAlign w:val="bottom"/>
          </w:tcPr>
          <w:p w14:paraId="73CBEFF3" w14:textId="007FC776" w:rsidR="000E38EF" w:rsidRPr="00CF0A51" w:rsidRDefault="000E38EF" w:rsidP="000E38EF">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CF0A51">
              <w:t>Areas of debate</w:t>
            </w:r>
          </w:p>
        </w:tc>
        <w:tc>
          <w:tcPr>
            <w:tcW w:w="1778" w:type="dxa"/>
            <w:shd w:val="clear" w:color="auto" w:fill="25408F"/>
            <w:vAlign w:val="bottom"/>
          </w:tcPr>
          <w:p w14:paraId="71C13C0E" w14:textId="03518F7F" w:rsidR="000E38EF"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CF0A51">
              <w:t xml:space="preserve">Would this require legislation or rulemaking? If so, what? </w:t>
            </w:r>
          </w:p>
        </w:tc>
        <w:tc>
          <w:tcPr>
            <w:tcW w:w="1749" w:type="dxa"/>
            <w:shd w:val="clear" w:color="auto" w:fill="25408F"/>
            <w:vAlign w:val="bottom"/>
          </w:tcPr>
          <w:p w14:paraId="1D29CBD1" w14:textId="235A7457" w:rsidR="000E38EF" w:rsidRPr="00CF0A51"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CF0A51">
              <w:t>Could another process address?</w:t>
            </w:r>
          </w:p>
        </w:tc>
      </w:tr>
      <w:tr w:rsidR="000E38EF" w:rsidRPr="00CF0A51" w14:paraId="1EAF2D3C" w14:textId="77777777" w:rsidTr="007E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shd w:val="clear" w:color="auto" w:fill="FFFFFF" w:themeFill="background1"/>
          </w:tcPr>
          <w:p w14:paraId="34783CEF" w14:textId="77777777" w:rsidR="000E38EF" w:rsidRPr="00CF0A51" w:rsidRDefault="000E38EF" w:rsidP="000E38EF">
            <w:pPr>
              <w:rPr>
                <w:sz w:val="20"/>
                <w:szCs w:val="20"/>
              </w:rPr>
            </w:pPr>
            <w:r w:rsidRPr="00CF0A51">
              <w:rPr>
                <w:sz w:val="20"/>
                <w:szCs w:val="20"/>
              </w:rPr>
              <w:t>Issue 4: Calculation of kWh goal.</w:t>
            </w:r>
          </w:p>
        </w:tc>
        <w:tc>
          <w:tcPr>
            <w:tcW w:w="1890" w:type="dxa"/>
            <w:shd w:val="clear" w:color="auto" w:fill="FFFFFF" w:themeFill="background1"/>
          </w:tcPr>
          <w:p w14:paraId="03C66849"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rPr>
              <w:t xml:space="preserve">Several stakeholders voiced interest in the concept of “assigning a value to every hour of the year.” This was a new concept that piqued interest (showcased in Perspectives 2-4) </w:t>
            </w:r>
          </w:p>
        </w:tc>
        <w:tc>
          <w:tcPr>
            <w:tcW w:w="2773" w:type="dxa"/>
            <w:shd w:val="clear" w:color="auto" w:fill="FFFFFF" w:themeFill="background1"/>
          </w:tcPr>
          <w:p w14:paraId="6D9B5943"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Perspective 1:</w:t>
            </w:r>
            <w:r w:rsidRPr="00CF0A51">
              <w:rPr>
                <w:sz w:val="20"/>
                <w:szCs w:val="20"/>
              </w:rPr>
              <w:t xml:space="preserve"> kW is the most important goal for the grid: Cost, reliability, resiliency. kWhs are an equity issue and saving kWhs has a bigger impact on affordability for low-income populations. This relates to how kWhs are calculated not a goal.</w:t>
            </w:r>
          </w:p>
          <w:p w14:paraId="0115326D" w14:textId="67760DAC"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 xml:space="preserve">Perspective 2: </w:t>
            </w:r>
            <w:r w:rsidRPr="00CF0A51">
              <w:rPr>
                <w:sz w:val="20"/>
                <w:szCs w:val="20"/>
              </w:rPr>
              <w:t>Rather than use an ECLF, you could assign a value for every hour of the year so you can amplify the value in those peak savings periods. In addition, you can also assign appropriate value to the rest of the hours of the year so you can capture those energy savings (kWh) impacts. Using this method, you can both capture interventions that drive peak savings but also achieve energy savings the other times of year</w:t>
            </w:r>
            <w:r w:rsidRPr="00CF0A51">
              <w:rPr>
                <w:sz w:val="20"/>
              </w:rPr>
              <w:t>,</w:t>
            </w:r>
            <w:r w:rsidRPr="00CF0A51">
              <w:rPr>
                <w:sz w:val="20"/>
                <w:szCs w:val="20"/>
              </w:rPr>
              <w:t xml:space="preserve"> so you balance and value both.</w:t>
            </w:r>
          </w:p>
          <w:p w14:paraId="12FBA082"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Perspective 3:</w:t>
            </w:r>
            <w:r w:rsidRPr="00CF0A51">
              <w:rPr>
                <w:sz w:val="20"/>
                <w:szCs w:val="20"/>
              </w:rPr>
              <w:t xml:space="preserve"> </w:t>
            </w:r>
            <w:r w:rsidRPr="00CF0A51">
              <w:rPr>
                <w:i/>
                <w:iCs/>
                <w:sz w:val="20"/>
                <w:szCs w:val="20"/>
              </w:rPr>
              <w:t xml:space="preserve">Out of the Box Thinking </w:t>
            </w:r>
            <w:r w:rsidRPr="00CF0A51">
              <w:rPr>
                <w:sz w:val="20"/>
                <w:szCs w:val="20"/>
              </w:rPr>
              <w:t xml:space="preserve">Perhaps the “savings goals” are transitioned to “budget goals” in that You may have a fixed amount of budget to go get the value that was defined in Perspective 2 above. This perspective is about establishing a budget to achieve the demand reductions at the time of the year you want them. </w:t>
            </w:r>
          </w:p>
          <w:p w14:paraId="49FCA9E2"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sidRPr="00CF0A51">
              <w:rPr>
                <w:sz w:val="20"/>
                <w:szCs w:val="20"/>
                <w:u w:val="single"/>
              </w:rPr>
              <w:t xml:space="preserve">Perspective 4: </w:t>
            </w:r>
            <w:r w:rsidRPr="00CF0A51">
              <w:rPr>
                <w:i/>
                <w:iCs/>
                <w:sz w:val="20"/>
                <w:szCs w:val="20"/>
              </w:rPr>
              <w:t xml:space="preserve">Related to Out of the Box Thinking: </w:t>
            </w:r>
            <w:r w:rsidRPr="00CF0A51">
              <w:rPr>
                <w:sz w:val="20"/>
                <w:szCs w:val="20"/>
              </w:rPr>
              <w:t>Take the Value stream and calibrate how much budget to achieve the statutory goal and potentially layer an energy savings goal that is aligned with different seasons or include an adder for capturing different parts of the market that otherwise wouldn’t have been served.</w:t>
            </w:r>
          </w:p>
          <w:p w14:paraId="7D0E3118"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p>
        </w:tc>
        <w:tc>
          <w:tcPr>
            <w:tcW w:w="1778" w:type="dxa"/>
            <w:shd w:val="clear" w:color="auto" w:fill="FFFFFF" w:themeFill="background1"/>
          </w:tcPr>
          <w:p w14:paraId="247E5870" w14:textId="0BFDDFE3"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Pr="00CF0A51">
              <w:rPr>
                <w:sz w:val="20"/>
                <w:szCs w:val="20"/>
              </w:rPr>
              <w:t>(c)(6) definition of Conservation Load Factor</w:t>
            </w:r>
          </w:p>
          <w:p w14:paraId="6BE63AB8" w14:textId="09BD82BE"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Pr="00CF0A51">
              <w:rPr>
                <w:sz w:val="20"/>
                <w:szCs w:val="20"/>
              </w:rPr>
              <w:t>(e)(4) Annual EE goals.</w:t>
            </w:r>
          </w:p>
          <w:p w14:paraId="7A679E99"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p>
          <w:p w14:paraId="743C5A3A"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p>
        </w:tc>
        <w:tc>
          <w:tcPr>
            <w:tcW w:w="1749" w:type="dxa"/>
            <w:shd w:val="clear" w:color="auto" w:fill="FFFFFF" w:themeFill="background1"/>
          </w:tcPr>
          <w:p w14:paraId="4A5E4CA5" w14:textId="77777777" w:rsidR="000E38EF" w:rsidRPr="00CF0A51" w:rsidRDefault="000E38EF" w:rsidP="000E38EF">
            <w:pPr>
              <w:cnfStyle w:val="000000100000" w:firstRow="0" w:lastRow="0" w:firstColumn="0" w:lastColumn="0" w:oddVBand="0" w:evenVBand="0" w:oddHBand="1" w:evenHBand="0" w:firstRowFirstColumn="0" w:firstRowLastColumn="0" w:lastRowFirstColumn="0" w:lastRowLastColumn="0"/>
              <w:rPr>
                <w:sz w:val="20"/>
                <w:szCs w:val="20"/>
              </w:rPr>
            </w:pPr>
          </w:p>
        </w:tc>
      </w:tr>
    </w:tbl>
    <w:p w14:paraId="171B7505" w14:textId="1D1D3D5E" w:rsidR="0092449D" w:rsidRDefault="0092449D" w:rsidP="0092449D">
      <w:pPr>
        <w:pStyle w:val="Heading3"/>
      </w:pPr>
      <w:r w:rsidRPr="008E2860">
        <w:t xml:space="preserve">Session </w:t>
      </w:r>
      <w:r>
        <w:t>3</w:t>
      </w:r>
      <w:r w:rsidRPr="008E2860">
        <w:t xml:space="preserve"> </w:t>
      </w:r>
      <w:r>
        <w:t>and 4 February 24</w:t>
      </w:r>
      <w:r w:rsidRPr="0092449D">
        <w:rPr>
          <w:vertAlign w:val="superscript"/>
        </w:rPr>
        <w:t>th</w:t>
      </w:r>
      <w:r>
        <w:t xml:space="preserve"> and March 6th</w:t>
      </w:r>
      <w:r w:rsidR="00387C0A" w:rsidRPr="008E2860">
        <w:t>, 2023</w:t>
      </w:r>
      <w:r>
        <w:t>: Goals Considerations</w:t>
      </w:r>
    </w:p>
    <w:p w14:paraId="25800E32" w14:textId="3C10398A" w:rsidR="006219D1" w:rsidRPr="00AC6793" w:rsidRDefault="006219D1" w:rsidP="006219D1">
      <w:pPr>
        <w:tabs>
          <w:tab w:val="left" w:pos="4095"/>
        </w:tabs>
        <w:rPr>
          <w:color w:val="B6DDE8" w:themeColor="accent5" w:themeTint="66"/>
          <w:sz w:val="24"/>
          <w:szCs w:val="24"/>
        </w:rPr>
      </w:pPr>
      <w:r>
        <w:t>Session 3 and Session 4 discussion on Goal Considerations. The table below summarizes the key issues identified and places a priority/level of effort for addressing this issue in a rulemaking</w:t>
      </w:r>
      <w:r w:rsidR="007970A7">
        <w:t xml:space="preserve"> and/or legislative change. </w:t>
      </w:r>
    </w:p>
    <w:tbl>
      <w:tblPr>
        <w:tblStyle w:val="GridTable4-Accent5"/>
        <w:tblW w:w="100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065"/>
        <w:gridCol w:w="5310"/>
        <w:gridCol w:w="2700"/>
      </w:tblGrid>
      <w:tr w:rsidR="006219D1" w:rsidRPr="00CB46AC" w14:paraId="5029EB39" w14:textId="77777777" w:rsidTr="000E38E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65" w:type="dxa"/>
            <w:tcBorders>
              <w:top w:val="none" w:sz="0" w:space="0" w:color="auto"/>
              <w:left w:val="none" w:sz="0" w:space="0" w:color="auto"/>
              <w:bottom w:val="none" w:sz="0" w:space="0" w:color="auto"/>
              <w:right w:val="none" w:sz="0" w:space="0" w:color="auto"/>
            </w:tcBorders>
            <w:shd w:val="clear" w:color="auto" w:fill="25408F"/>
            <w:vAlign w:val="bottom"/>
          </w:tcPr>
          <w:p w14:paraId="3CAD68AF" w14:textId="77777777" w:rsidR="006219D1" w:rsidRPr="00CB46AC" w:rsidRDefault="006219D1" w:rsidP="000E38EF">
            <w:pPr>
              <w:pStyle w:val="TT-TableHeading"/>
              <w:rPr>
                <w:bCs/>
              </w:rPr>
            </w:pPr>
            <w:r w:rsidRPr="00CB46AC">
              <w:t>Issue</w:t>
            </w:r>
          </w:p>
        </w:tc>
        <w:tc>
          <w:tcPr>
            <w:tcW w:w="5310" w:type="dxa"/>
            <w:tcBorders>
              <w:top w:val="none" w:sz="0" w:space="0" w:color="auto"/>
              <w:left w:val="none" w:sz="0" w:space="0" w:color="auto"/>
              <w:bottom w:val="none" w:sz="0" w:space="0" w:color="auto"/>
              <w:right w:val="none" w:sz="0" w:space="0" w:color="auto"/>
            </w:tcBorders>
            <w:shd w:val="clear" w:color="auto" w:fill="25408F"/>
            <w:vAlign w:val="bottom"/>
          </w:tcPr>
          <w:p w14:paraId="6395D737" w14:textId="77777777" w:rsidR="006219D1" w:rsidRPr="00CB46AC" w:rsidRDefault="006219D1" w:rsidP="000E38EF">
            <w:pPr>
              <w:pStyle w:val="TT-TableHeading"/>
              <w:cnfStyle w:val="100000000000" w:firstRow="1" w:lastRow="0" w:firstColumn="0" w:lastColumn="0" w:oddVBand="0" w:evenVBand="0" w:oddHBand="0" w:evenHBand="0" w:firstRowFirstColumn="0" w:firstRowLastColumn="0" w:lastRowFirstColumn="0" w:lastRowLastColumn="0"/>
              <w:rPr>
                <w:bCs/>
              </w:rPr>
            </w:pPr>
            <w:r w:rsidRPr="00CB46AC">
              <w:t>Summary</w:t>
            </w:r>
          </w:p>
        </w:tc>
        <w:tc>
          <w:tcPr>
            <w:tcW w:w="2700" w:type="dxa"/>
            <w:tcBorders>
              <w:top w:val="none" w:sz="0" w:space="0" w:color="auto"/>
              <w:left w:val="none" w:sz="0" w:space="0" w:color="auto"/>
              <w:bottom w:val="none" w:sz="0" w:space="0" w:color="auto"/>
              <w:right w:val="none" w:sz="0" w:space="0" w:color="auto"/>
            </w:tcBorders>
            <w:shd w:val="clear" w:color="auto" w:fill="25408F"/>
            <w:vAlign w:val="bottom"/>
          </w:tcPr>
          <w:p w14:paraId="066E4A6D" w14:textId="0AE9DFC9" w:rsidR="006219D1" w:rsidRPr="00CB46AC" w:rsidRDefault="000E38EF" w:rsidP="000E38EF">
            <w:pPr>
              <w:pStyle w:val="TT-TableHeading"/>
              <w:cnfStyle w:val="100000000000" w:firstRow="1" w:lastRow="0" w:firstColumn="0" w:lastColumn="0" w:oddVBand="0" w:evenVBand="0" w:oddHBand="0" w:evenHBand="0" w:firstRowFirstColumn="0" w:firstRowLastColumn="0" w:lastRowFirstColumn="0" w:lastRowLastColumn="0"/>
              <w:rPr>
                <w:bCs/>
              </w:rPr>
            </w:pPr>
            <w:r w:rsidRPr="00CB46AC">
              <w:t xml:space="preserve">Working </w:t>
            </w:r>
            <w:r>
              <w:t>G</w:t>
            </w:r>
            <w:r w:rsidRPr="00CB46AC">
              <w:t>roup priority and why</w:t>
            </w:r>
          </w:p>
        </w:tc>
      </w:tr>
      <w:tr w:rsidR="006219D1" w:rsidRPr="00CB46AC" w14:paraId="49B61D91" w14:textId="77777777" w:rsidTr="000E38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tcPr>
          <w:p w14:paraId="7331C950" w14:textId="77777777" w:rsidR="006219D1" w:rsidRPr="00CB46AC" w:rsidRDefault="006219D1" w:rsidP="00C87A90">
            <w:pPr>
              <w:rPr>
                <w:sz w:val="20"/>
                <w:szCs w:val="20"/>
              </w:rPr>
            </w:pPr>
            <w:r w:rsidRPr="00CB46AC">
              <w:rPr>
                <w:sz w:val="20"/>
                <w:szCs w:val="20"/>
              </w:rPr>
              <w:t>Issue 1: Cost Caps – Administrative, R&amp;D and EECRFs</w:t>
            </w:r>
          </w:p>
        </w:tc>
        <w:tc>
          <w:tcPr>
            <w:tcW w:w="5310" w:type="dxa"/>
          </w:tcPr>
          <w:p w14:paraId="5804F992" w14:textId="388A012B" w:rsidR="006219D1" w:rsidRPr="00CB46AC" w:rsidRDefault="004A570A" w:rsidP="00C87A90">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6219D1" w:rsidRPr="00CB46AC">
              <w:rPr>
                <w:sz w:val="20"/>
                <w:szCs w:val="20"/>
              </w:rPr>
              <w:t>(1) cost of administration not to exceed 15% of a utility’s total program costs. The cost of R&amp;D not to exceed 10% of a utility’s total program costs for costs. Total of both cannot exceed 20%.</w:t>
            </w:r>
          </w:p>
          <w:p w14:paraId="31466CD2" w14:textId="5075156A" w:rsidR="006219D1" w:rsidRPr="00CB46AC" w:rsidRDefault="004A570A" w:rsidP="00C87A90">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6219D1" w:rsidRPr="00CB46AC">
              <w:rPr>
                <w:sz w:val="20"/>
                <w:szCs w:val="20"/>
              </w:rPr>
              <w:t>(f) Energy Efficiency Cost Recovery Factor (EECRF) (f)(2) Costs directly assigned to each rate class that receives services, and combine smaller and similar rate classes through good cause exception.</w:t>
            </w:r>
          </w:p>
          <w:p w14:paraId="4D3F3D9D"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rPr>
              <w:t>25.182 (d)(7) Cost Caps for 2019 and after increases by CPI. 2018 base is $0.001263 per kWh; for commercial $0.000790 per kWh.</w:t>
            </w:r>
          </w:p>
          <w:p w14:paraId="367AB1E0"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rPr>
              <w:t>PURA Sec. 39.905 Goals for Energy Efficiency (e) An electric utility may use money approved by the commission for energy efficiency programs to perform necessary energy efficiency research and development to foster continuous improvement and innovation in the application of energy efficiency technology and energy efficiency program design and implementation. Money the utility uses under this subsection may not exceed 10 percent of the greater of: (1) the amount the commission approved for EE programs in the utility’s most recent full rate proceedings or (2) the commission-approved expenditure by the utility for EE in the previous year.</w:t>
            </w:r>
          </w:p>
        </w:tc>
        <w:tc>
          <w:tcPr>
            <w:tcW w:w="2700" w:type="dxa"/>
          </w:tcPr>
          <w:p w14:paraId="1C06BE10" w14:textId="3D2C5B04"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b/>
                <w:bCs/>
                <w:sz w:val="20"/>
                <w:szCs w:val="20"/>
              </w:rPr>
              <w:t>High Priority:</w:t>
            </w:r>
            <w:r w:rsidRPr="00CB46AC">
              <w:rPr>
                <w:sz w:val="20"/>
                <w:szCs w:val="20"/>
              </w:rPr>
              <w:t xml:space="preserve"> Stakeholders voiced that many of the smaller </w:t>
            </w:r>
            <w:r w:rsidR="00943CE4">
              <w:rPr>
                <w:sz w:val="20"/>
                <w:szCs w:val="20"/>
              </w:rPr>
              <w:t>IOUs</w:t>
            </w:r>
            <w:r w:rsidRPr="00CB46AC">
              <w:rPr>
                <w:sz w:val="20"/>
                <w:szCs w:val="20"/>
              </w:rPr>
              <w:t xml:space="preserve"> are limited by the Cost Caps and have even requested a “good cause exception.” With the increased cost of electricity and the rising costs of measures, cost caps should be reviewed.</w:t>
            </w:r>
          </w:p>
        </w:tc>
      </w:tr>
      <w:tr w:rsidR="006219D1" w:rsidRPr="00CB46AC" w14:paraId="029CF300" w14:textId="77777777" w:rsidTr="000E38EF">
        <w:tc>
          <w:tcPr>
            <w:cnfStyle w:val="001000000000" w:firstRow="0" w:lastRow="0" w:firstColumn="1" w:lastColumn="0" w:oddVBand="0" w:evenVBand="0" w:oddHBand="0" w:evenHBand="0" w:firstRowFirstColumn="0" w:firstRowLastColumn="0" w:lastRowFirstColumn="0" w:lastRowLastColumn="0"/>
            <w:tcW w:w="2065" w:type="dxa"/>
          </w:tcPr>
          <w:p w14:paraId="6A990E87" w14:textId="77777777" w:rsidR="006219D1" w:rsidRPr="00CB46AC" w:rsidRDefault="006219D1" w:rsidP="00C87A90">
            <w:pPr>
              <w:rPr>
                <w:b w:val="0"/>
                <w:bCs w:val="0"/>
                <w:sz w:val="20"/>
                <w:szCs w:val="20"/>
              </w:rPr>
            </w:pPr>
            <w:r w:rsidRPr="00CB46AC">
              <w:rPr>
                <w:sz w:val="20"/>
                <w:szCs w:val="20"/>
              </w:rPr>
              <w:t>Issue 2: Specific program types of contributions to goals</w:t>
            </w:r>
          </w:p>
        </w:tc>
        <w:tc>
          <w:tcPr>
            <w:tcW w:w="5310" w:type="dxa"/>
          </w:tcPr>
          <w:p w14:paraId="0CCF3C7E" w14:textId="77777777"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rPr>
              <w:t xml:space="preserve">The percent of kW reduction from load management programs varies by utility, but over 60% of statewide energy efficiency portfolio kW reductions are typically from LM programs each year. </w:t>
            </w:r>
          </w:p>
          <w:p w14:paraId="7A67469F" w14:textId="77777777"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rPr>
              <w:t>5% of total demand reduction goal must come from HTR sector and is 25.181. 10% of ERCOT budgets to LI and is in PURA</w:t>
            </w:r>
          </w:p>
        </w:tc>
        <w:tc>
          <w:tcPr>
            <w:tcW w:w="2700" w:type="dxa"/>
          </w:tcPr>
          <w:p w14:paraId="670D41AA" w14:textId="77777777"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B46AC">
              <w:rPr>
                <w:b/>
                <w:bCs/>
                <w:sz w:val="20"/>
                <w:szCs w:val="20"/>
              </w:rPr>
              <w:t>High Priority:</w:t>
            </w:r>
            <w:r w:rsidRPr="00CB46AC">
              <w:rPr>
                <w:sz w:val="20"/>
                <w:szCs w:val="20"/>
              </w:rPr>
              <w:t xml:space="preserve"> Stakeholders voiced the need to review and potentially expand the HTR definition. Understanding where load management will be captured is required to understand how these goals should be adjusted. </w:t>
            </w:r>
          </w:p>
        </w:tc>
      </w:tr>
      <w:tr w:rsidR="000E38EF" w:rsidRPr="00CB46AC" w14:paraId="0D5F09EA" w14:textId="77777777" w:rsidTr="000E38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shd w:val="clear" w:color="auto" w:fill="25408F"/>
            <w:vAlign w:val="bottom"/>
          </w:tcPr>
          <w:p w14:paraId="3A0B6C1A" w14:textId="7F2ABF18" w:rsidR="000E38EF" w:rsidRPr="00CB46AC" w:rsidRDefault="000E38EF" w:rsidP="000E38EF">
            <w:pPr>
              <w:pStyle w:val="TT-TableHeading"/>
            </w:pPr>
            <w:r w:rsidRPr="00CB46AC">
              <w:t>Issue</w:t>
            </w:r>
          </w:p>
        </w:tc>
        <w:tc>
          <w:tcPr>
            <w:tcW w:w="5310" w:type="dxa"/>
            <w:shd w:val="clear" w:color="auto" w:fill="25408F"/>
            <w:vAlign w:val="bottom"/>
          </w:tcPr>
          <w:p w14:paraId="633EE16F" w14:textId="25F1FE52" w:rsidR="000E38EF" w:rsidRPr="00CB46AC" w:rsidRDefault="000E38EF" w:rsidP="000E38EF">
            <w:pPr>
              <w:pStyle w:val="TT-TableHeading"/>
              <w:cnfStyle w:val="000000100000" w:firstRow="0" w:lastRow="0" w:firstColumn="0" w:lastColumn="0" w:oddVBand="0" w:evenVBand="0" w:oddHBand="1" w:evenHBand="0" w:firstRowFirstColumn="0" w:firstRowLastColumn="0" w:lastRowFirstColumn="0" w:lastRowLastColumn="0"/>
            </w:pPr>
            <w:r w:rsidRPr="00CB46AC">
              <w:t>Summary</w:t>
            </w:r>
          </w:p>
        </w:tc>
        <w:tc>
          <w:tcPr>
            <w:tcW w:w="2700" w:type="dxa"/>
            <w:shd w:val="clear" w:color="auto" w:fill="25408F"/>
            <w:vAlign w:val="bottom"/>
          </w:tcPr>
          <w:p w14:paraId="7E5B3DCE" w14:textId="4FB65A58" w:rsidR="000E38EF" w:rsidRPr="00CB46AC" w:rsidRDefault="000E38EF" w:rsidP="000E38EF">
            <w:pPr>
              <w:pStyle w:val="TT-TableHeading"/>
              <w:cnfStyle w:val="000000100000" w:firstRow="0" w:lastRow="0" w:firstColumn="0" w:lastColumn="0" w:oddVBand="0" w:evenVBand="0" w:oddHBand="1" w:evenHBand="0" w:firstRowFirstColumn="0" w:firstRowLastColumn="0" w:lastRowFirstColumn="0" w:lastRowLastColumn="0"/>
            </w:pPr>
            <w:r w:rsidRPr="00CB46AC">
              <w:t xml:space="preserve">Working </w:t>
            </w:r>
            <w:r>
              <w:t>G</w:t>
            </w:r>
            <w:r w:rsidRPr="00CB46AC">
              <w:t>roup priority and why</w:t>
            </w:r>
          </w:p>
        </w:tc>
      </w:tr>
      <w:tr w:rsidR="006219D1" w:rsidRPr="00CB46AC" w14:paraId="766FAEB6" w14:textId="77777777" w:rsidTr="007E6674">
        <w:tc>
          <w:tcPr>
            <w:cnfStyle w:val="001000000000" w:firstRow="0" w:lastRow="0" w:firstColumn="1" w:lastColumn="0" w:oddVBand="0" w:evenVBand="0" w:oddHBand="0" w:evenHBand="0" w:firstRowFirstColumn="0" w:firstRowLastColumn="0" w:lastRowFirstColumn="0" w:lastRowLastColumn="0"/>
            <w:tcW w:w="2065" w:type="dxa"/>
            <w:shd w:val="clear" w:color="auto" w:fill="DAEEF3" w:themeFill="accent5" w:themeFillTint="33"/>
          </w:tcPr>
          <w:p w14:paraId="5A22EB1D" w14:textId="77777777" w:rsidR="006219D1" w:rsidRPr="00CB46AC" w:rsidRDefault="006219D1" w:rsidP="00C87A90">
            <w:pPr>
              <w:rPr>
                <w:sz w:val="20"/>
                <w:szCs w:val="20"/>
              </w:rPr>
            </w:pPr>
            <w:r w:rsidRPr="00CB46AC">
              <w:rPr>
                <w:sz w:val="20"/>
                <w:szCs w:val="20"/>
              </w:rPr>
              <w:t>Issue 3: Cost Effectiveness</w:t>
            </w:r>
          </w:p>
        </w:tc>
        <w:tc>
          <w:tcPr>
            <w:tcW w:w="5310" w:type="dxa"/>
            <w:shd w:val="clear" w:color="auto" w:fill="DAEEF3" w:themeFill="accent5" w:themeFillTint="33"/>
          </w:tcPr>
          <w:p w14:paraId="08A2A683" w14:textId="77777777"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rPr>
              <w:t>The cost-effectiveness standard is the Utility Cost Test (UCT) and is conducted at the program-level except for ERCOT LI which is the savings-to-investment ratio (SIR).</w:t>
            </w:r>
          </w:p>
        </w:tc>
        <w:tc>
          <w:tcPr>
            <w:tcW w:w="2700" w:type="dxa"/>
            <w:shd w:val="clear" w:color="auto" w:fill="DAEEF3" w:themeFill="accent5" w:themeFillTint="33"/>
          </w:tcPr>
          <w:p w14:paraId="62DA9414" w14:textId="2519D82A"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b/>
                <w:bCs/>
                <w:sz w:val="20"/>
                <w:szCs w:val="20"/>
              </w:rPr>
            </w:pPr>
            <w:r w:rsidRPr="00CB46AC">
              <w:rPr>
                <w:b/>
                <w:bCs/>
                <w:sz w:val="20"/>
                <w:szCs w:val="20"/>
              </w:rPr>
              <w:t xml:space="preserve">High </w:t>
            </w:r>
            <w:r w:rsidRPr="00E579A5">
              <w:rPr>
                <w:b/>
                <w:bCs/>
                <w:sz w:val="20"/>
                <w:szCs w:val="20"/>
              </w:rPr>
              <w:t>Priority</w:t>
            </w:r>
            <w:r w:rsidRPr="00E579A5">
              <w:rPr>
                <w:sz w:val="20"/>
                <w:szCs w:val="20"/>
              </w:rPr>
              <w:t>: A program is deemed cost effective</w:t>
            </w:r>
            <w:r w:rsidRPr="00CB46AC">
              <w:rPr>
                <w:sz w:val="20"/>
                <w:szCs w:val="20"/>
              </w:rPr>
              <w:t xml:space="preserve"> if the cost of the program to the utility is less than or equal to the benefits of the program. Stakeholders voiced the need to review portfolio cost effectiveness vs. program cost effectiveness or quantifiable additional benefits</w:t>
            </w:r>
          </w:p>
        </w:tc>
      </w:tr>
      <w:tr w:rsidR="000E38EF" w:rsidRPr="00CB46AC" w14:paraId="3D0B1F82" w14:textId="77777777" w:rsidTr="000E38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shd w:val="clear" w:color="auto" w:fill="25408F"/>
            <w:vAlign w:val="bottom"/>
          </w:tcPr>
          <w:p w14:paraId="631AED29" w14:textId="6FAA43F6" w:rsidR="000E38EF" w:rsidRPr="00CB46AC" w:rsidRDefault="000E38EF" w:rsidP="000E38EF">
            <w:pPr>
              <w:pStyle w:val="TT-TableHeading"/>
            </w:pPr>
            <w:r w:rsidRPr="00CB46AC">
              <w:t>Issue</w:t>
            </w:r>
          </w:p>
        </w:tc>
        <w:tc>
          <w:tcPr>
            <w:tcW w:w="5310" w:type="dxa"/>
            <w:shd w:val="clear" w:color="auto" w:fill="25408F"/>
            <w:vAlign w:val="bottom"/>
          </w:tcPr>
          <w:p w14:paraId="1B0926CC" w14:textId="71FE1CAA" w:rsidR="000E38EF" w:rsidRDefault="000E38EF" w:rsidP="000E38EF">
            <w:pPr>
              <w:pStyle w:val="TT-TableHeading"/>
              <w:cnfStyle w:val="000000100000" w:firstRow="0" w:lastRow="0" w:firstColumn="0" w:lastColumn="0" w:oddVBand="0" w:evenVBand="0" w:oddHBand="1" w:evenHBand="0" w:firstRowFirstColumn="0" w:firstRowLastColumn="0" w:lastRowFirstColumn="0" w:lastRowLastColumn="0"/>
            </w:pPr>
            <w:r w:rsidRPr="00CB46AC">
              <w:t>Summary</w:t>
            </w:r>
          </w:p>
        </w:tc>
        <w:tc>
          <w:tcPr>
            <w:tcW w:w="2700" w:type="dxa"/>
            <w:shd w:val="clear" w:color="auto" w:fill="25408F"/>
            <w:vAlign w:val="bottom"/>
          </w:tcPr>
          <w:p w14:paraId="49221EF9" w14:textId="3C9E9FF7" w:rsidR="000E38EF" w:rsidRPr="00CB46AC" w:rsidRDefault="000E38EF" w:rsidP="000E38EF">
            <w:pPr>
              <w:pStyle w:val="TT-TableHeading"/>
              <w:cnfStyle w:val="000000100000" w:firstRow="0" w:lastRow="0" w:firstColumn="0" w:lastColumn="0" w:oddVBand="0" w:evenVBand="0" w:oddHBand="1" w:evenHBand="0" w:firstRowFirstColumn="0" w:firstRowLastColumn="0" w:lastRowFirstColumn="0" w:lastRowLastColumn="0"/>
            </w:pPr>
            <w:r w:rsidRPr="00CB46AC">
              <w:t xml:space="preserve">Working </w:t>
            </w:r>
            <w:r>
              <w:t>G</w:t>
            </w:r>
            <w:r w:rsidRPr="00CB46AC">
              <w:t>roup priority and why</w:t>
            </w:r>
          </w:p>
        </w:tc>
      </w:tr>
      <w:tr w:rsidR="006219D1" w:rsidRPr="00CB46AC" w14:paraId="76758C58" w14:textId="77777777" w:rsidTr="000E38EF">
        <w:tc>
          <w:tcPr>
            <w:cnfStyle w:val="001000000000" w:firstRow="0" w:lastRow="0" w:firstColumn="1" w:lastColumn="0" w:oddVBand="0" w:evenVBand="0" w:oddHBand="0" w:evenHBand="0" w:firstRowFirstColumn="0" w:firstRowLastColumn="0" w:lastRowFirstColumn="0" w:lastRowLastColumn="0"/>
            <w:tcW w:w="2065" w:type="dxa"/>
          </w:tcPr>
          <w:p w14:paraId="358E6817" w14:textId="77777777" w:rsidR="006219D1" w:rsidRPr="00CB46AC" w:rsidRDefault="006219D1" w:rsidP="00C87A90">
            <w:pPr>
              <w:rPr>
                <w:sz w:val="20"/>
                <w:szCs w:val="20"/>
              </w:rPr>
            </w:pPr>
            <w:r w:rsidRPr="00CB46AC">
              <w:rPr>
                <w:sz w:val="20"/>
                <w:szCs w:val="20"/>
              </w:rPr>
              <w:t xml:space="preserve">Issue 4: </w:t>
            </w:r>
            <w:proofErr w:type="spellStart"/>
            <w:r w:rsidRPr="00CB46AC">
              <w:rPr>
                <w:sz w:val="20"/>
                <w:szCs w:val="20"/>
              </w:rPr>
              <w:t>Opt</w:t>
            </w:r>
            <w:proofErr w:type="spellEnd"/>
            <w:r w:rsidRPr="00CB46AC">
              <w:rPr>
                <w:sz w:val="20"/>
                <w:szCs w:val="20"/>
              </w:rPr>
              <w:t xml:space="preserve"> Outs</w:t>
            </w:r>
          </w:p>
        </w:tc>
        <w:tc>
          <w:tcPr>
            <w:tcW w:w="5310" w:type="dxa"/>
          </w:tcPr>
          <w:p w14:paraId="333C0A74" w14:textId="0164FF8D" w:rsidR="006219D1" w:rsidRPr="00CB46AC" w:rsidRDefault="004A570A" w:rsidP="00C87A90">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6219D1" w:rsidRPr="00CB46AC">
              <w:rPr>
                <w:sz w:val="20"/>
                <w:szCs w:val="20"/>
              </w:rPr>
              <w:t>(w) allow industrial customers to opt out of energy efficiency program cost recovery.</w:t>
            </w:r>
          </w:p>
        </w:tc>
        <w:tc>
          <w:tcPr>
            <w:tcW w:w="2700" w:type="dxa"/>
          </w:tcPr>
          <w:p w14:paraId="2169E4A7" w14:textId="00A94F63" w:rsidR="006219D1" w:rsidRPr="00CB46AC" w:rsidRDefault="006219D1" w:rsidP="000F73C9">
            <w:pPr>
              <w:spacing w:before="0"/>
              <w:cnfStyle w:val="000000000000" w:firstRow="0" w:lastRow="0" w:firstColumn="0" w:lastColumn="0" w:oddVBand="0" w:evenVBand="0" w:oddHBand="0" w:evenHBand="0" w:firstRowFirstColumn="0" w:firstRowLastColumn="0" w:lastRowFirstColumn="0" w:lastRowLastColumn="0"/>
              <w:rPr>
                <w:sz w:val="20"/>
                <w:szCs w:val="20"/>
              </w:rPr>
            </w:pPr>
            <w:r w:rsidRPr="00CB46AC">
              <w:rPr>
                <w:b/>
                <w:bCs/>
                <w:sz w:val="20"/>
                <w:szCs w:val="20"/>
              </w:rPr>
              <w:t xml:space="preserve">Low Priority: </w:t>
            </w:r>
            <w:r w:rsidR="00644FB9">
              <w:rPr>
                <w:sz w:val="20"/>
              </w:rPr>
              <w:t xml:space="preserve">Stakeholders voiced agreement that if industrial customers opt out, </w:t>
            </w:r>
            <w:r w:rsidR="009F0C51">
              <w:rPr>
                <w:sz w:val="20"/>
              </w:rPr>
              <w:t xml:space="preserve">it would be beneficial if they </w:t>
            </w:r>
            <w:r w:rsidR="00644FB9">
              <w:rPr>
                <w:sz w:val="20"/>
              </w:rPr>
              <w:t>report</w:t>
            </w:r>
            <w:r w:rsidR="009F0C51">
              <w:rPr>
                <w:sz w:val="20"/>
              </w:rPr>
              <w:t>ed</w:t>
            </w:r>
            <w:r w:rsidR="00644FB9">
              <w:rPr>
                <w:sz w:val="20"/>
              </w:rPr>
              <w:t xml:space="preserve"> energy efficiency savings to the State Energy Conservation Office (SECO) or the </w:t>
            </w:r>
            <w:r w:rsidR="000F73C9">
              <w:rPr>
                <w:sz w:val="20"/>
              </w:rPr>
              <w:t xml:space="preserve">PUC </w:t>
            </w:r>
            <w:r w:rsidR="00644FB9">
              <w:rPr>
                <w:sz w:val="20"/>
              </w:rPr>
              <w:t>as this value is not being captured in Texas</w:t>
            </w:r>
            <w:r w:rsidR="00BB7654">
              <w:rPr>
                <w:sz w:val="20"/>
              </w:rPr>
              <w:t xml:space="preserve">. </w:t>
            </w:r>
          </w:p>
        </w:tc>
      </w:tr>
      <w:tr w:rsidR="000E38EF" w:rsidRPr="00CB46AC" w14:paraId="1D50F6E7" w14:textId="77777777" w:rsidTr="000E38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shd w:val="clear" w:color="auto" w:fill="25408F"/>
            <w:vAlign w:val="bottom"/>
          </w:tcPr>
          <w:p w14:paraId="7AF5F8A6" w14:textId="0A1E12BB" w:rsidR="000E38EF" w:rsidRPr="00CB46AC" w:rsidRDefault="000E38EF" w:rsidP="000E38EF">
            <w:pPr>
              <w:pStyle w:val="TT-TableHeading"/>
            </w:pPr>
            <w:r w:rsidRPr="00CB46AC">
              <w:t>Issue</w:t>
            </w:r>
          </w:p>
        </w:tc>
        <w:tc>
          <w:tcPr>
            <w:tcW w:w="5310" w:type="dxa"/>
            <w:shd w:val="clear" w:color="auto" w:fill="25408F"/>
            <w:vAlign w:val="bottom"/>
          </w:tcPr>
          <w:p w14:paraId="4950E95F" w14:textId="3EC158FD" w:rsidR="000E38EF" w:rsidRDefault="000E38EF" w:rsidP="000E38EF">
            <w:pPr>
              <w:pStyle w:val="TT-TableHeading"/>
              <w:cnfStyle w:val="000000100000" w:firstRow="0" w:lastRow="0" w:firstColumn="0" w:lastColumn="0" w:oddVBand="0" w:evenVBand="0" w:oddHBand="1" w:evenHBand="0" w:firstRowFirstColumn="0" w:firstRowLastColumn="0" w:lastRowFirstColumn="0" w:lastRowLastColumn="0"/>
            </w:pPr>
            <w:r w:rsidRPr="00CB46AC">
              <w:t>Summary</w:t>
            </w:r>
          </w:p>
        </w:tc>
        <w:tc>
          <w:tcPr>
            <w:tcW w:w="2700" w:type="dxa"/>
            <w:shd w:val="clear" w:color="auto" w:fill="25408F"/>
            <w:vAlign w:val="bottom"/>
          </w:tcPr>
          <w:p w14:paraId="4015BF19" w14:textId="1A7FBF93" w:rsidR="000E38EF" w:rsidRPr="00CB46AC" w:rsidRDefault="000E38EF" w:rsidP="000E38EF">
            <w:pPr>
              <w:pStyle w:val="TT-TableHeading"/>
              <w:cnfStyle w:val="000000100000" w:firstRow="0" w:lastRow="0" w:firstColumn="0" w:lastColumn="0" w:oddVBand="0" w:evenVBand="0" w:oddHBand="1" w:evenHBand="0" w:firstRowFirstColumn="0" w:firstRowLastColumn="0" w:lastRowFirstColumn="0" w:lastRowLastColumn="0"/>
            </w:pPr>
            <w:r w:rsidRPr="00CB46AC">
              <w:t xml:space="preserve">Working </w:t>
            </w:r>
            <w:r>
              <w:t>G</w:t>
            </w:r>
            <w:r w:rsidRPr="00CB46AC">
              <w:t>roup priority and why</w:t>
            </w:r>
          </w:p>
        </w:tc>
      </w:tr>
      <w:tr w:rsidR="006219D1" w:rsidRPr="00CB46AC" w14:paraId="2F16E0D5" w14:textId="77777777" w:rsidTr="007E6674">
        <w:tc>
          <w:tcPr>
            <w:cnfStyle w:val="001000000000" w:firstRow="0" w:lastRow="0" w:firstColumn="1" w:lastColumn="0" w:oddVBand="0" w:evenVBand="0" w:oddHBand="0" w:evenHBand="0" w:firstRowFirstColumn="0" w:firstRowLastColumn="0" w:lastRowFirstColumn="0" w:lastRowLastColumn="0"/>
            <w:tcW w:w="2065" w:type="dxa"/>
            <w:shd w:val="clear" w:color="auto" w:fill="DAEEF3" w:themeFill="accent5" w:themeFillTint="33"/>
          </w:tcPr>
          <w:p w14:paraId="1695F638" w14:textId="0836DCA0" w:rsidR="006219D1" w:rsidRPr="00CB46AC" w:rsidRDefault="006219D1" w:rsidP="00C87A90">
            <w:pPr>
              <w:rPr>
                <w:sz w:val="20"/>
                <w:szCs w:val="20"/>
              </w:rPr>
            </w:pPr>
            <w:r w:rsidRPr="00CB46AC">
              <w:rPr>
                <w:sz w:val="20"/>
                <w:szCs w:val="20"/>
              </w:rPr>
              <w:t>Issue 5: Marketing/ What roles can REPS Play</w:t>
            </w:r>
          </w:p>
        </w:tc>
        <w:tc>
          <w:tcPr>
            <w:tcW w:w="5310" w:type="dxa"/>
            <w:shd w:val="clear" w:color="auto" w:fill="DAEEF3" w:themeFill="accent5" w:themeFillTint="33"/>
          </w:tcPr>
          <w:p w14:paraId="12138BB4" w14:textId="131A9175"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rPr>
              <w:t xml:space="preserve">PURA and </w:t>
            </w:r>
            <w:r w:rsidR="0014083D">
              <w:rPr>
                <w:sz w:val="20"/>
                <w:szCs w:val="20"/>
              </w:rPr>
              <w:t>16 TAC §25.181</w:t>
            </w:r>
            <w:r w:rsidRPr="00CB46AC">
              <w:rPr>
                <w:sz w:val="20"/>
                <w:szCs w:val="20"/>
              </w:rPr>
              <w:t xml:space="preserve"> require ERCOT utilities to use its best efforts to encourage and facilitate involvement of retail electric providers (REPs) in delivery of EE and DR programs.</w:t>
            </w:r>
          </w:p>
        </w:tc>
        <w:tc>
          <w:tcPr>
            <w:tcW w:w="2700" w:type="dxa"/>
            <w:shd w:val="clear" w:color="auto" w:fill="DAEEF3" w:themeFill="accent5" w:themeFillTint="33"/>
          </w:tcPr>
          <w:p w14:paraId="12E32533" w14:textId="47A24DC8"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B46AC">
              <w:rPr>
                <w:b/>
                <w:bCs/>
                <w:sz w:val="20"/>
                <w:szCs w:val="20"/>
              </w:rPr>
              <w:t>Low Priority:</w:t>
            </w:r>
            <w:r w:rsidRPr="00CB46AC">
              <w:rPr>
                <w:sz w:val="20"/>
                <w:szCs w:val="20"/>
              </w:rPr>
              <w:t xml:space="preserve"> Stakeholders agree there is opportunity for better communication however barriers exist given budget constraints. (i.e., REPs may want to work with larger TDUs). No rule change is needed for increased REP coordination</w:t>
            </w:r>
          </w:p>
        </w:tc>
      </w:tr>
      <w:tr w:rsidR="007E6674" w:rsidRPr="00CB46AC" w14:paraId="65A92A75" w14:textId="77777777" w:rsidTr="007E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65" w:type="dxa"/>
            <w:shd w:val="clear" w:color="auto" w:fill="auto"/>
          </w:tcPr>
          <w:p w14:paraId="1BBC13E9" w14:textId="77777777" w:rsidR="006219D1" w:rsidRPr="00CB46AC" w:rsidRDefault="006219D1" w:rsidP="000E38EF">
            <w:pPr>
              <w:keepNext/>
              <w:keepLines/>
              <w:rPr>
                <w:sz w:val="20"/>
                <w:szCs w:val="20"/>
              </w:rPr>
            </w:pPr>
            <w:r w:rsidRPr="00CB46AC">
              <w:rPr>
                <w:sz w:val="20"/>
                <w:szCs w:val="20"/>
              </w:rPr>
              <w:t>Issue 6: Performance Bonus</w:t>
            </w:r>
          </w:p>
        </w:tc>
        <w:tc>
          <w:tcPr>
            <w:tcW w:w="5310" w:type="dxa"/>
            <w:shd w:val="clear" w:color="auto" w:fill="auto"/>
          </w:tcPr>
          <w:p w14:paraId="1954A4E4" w14:textId="77777777" w:rsidR="006219D1" w:rsidRPr="00CB46AC" w:rsidRDefault="006219D1"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rPr>
              <w:t>PURA section 39.905 (b)(2) requires Commission to establish performance bonuses for utilities that exceed the minimum goals.</w:t>
            </w:r>
          </w:p>
          <w:p w14:paraId="313956DB" w14:textId="77777777" w:rsidR="006219D1" w:rsidRPr="00CB46AC" w:rsidRDefault="006219D1"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rPr>
              <w:t>Section 25.18 (e) Utility that exceed 100% of its demand and energy reduction goals receive a bonus equal to 1% of net benefits for every 2% that the demand reduction goal has been exceeded – capped at 10% of utility’s total net benefits. Performance bonuses are included in program costs when calculating Net Benefits.</w:t>
            </w:r>
          </w:p>
        </w:tc>
        <w:tc>
          <w:tcPr>
            <w:tcW w:w="2700" w:type="dxa"/>
            <w:shd w:val="clear" w:color="auto" w:fill="auto"/>
          </w:tcPr>
          <w:p w14:paraId="7FC5E32D" w14:textId="77777777" w:rsidR="006219D1" w:rsidRPr="00CB46AC" w:rsidRDefault="006219D1" w:rsidP="000E38EF">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CB46AC">
              <w:rPr>
                <w:b/>
                <w:bCs/>
                <w:sz w:val="20"/>
                <w:szCs w:val="20"/>
              </w:rPr>
              <w:t xml:space="preserve">Medium Priority: </w:t>
            </w:r>
            <w:r w:rsidRPr="00CB46AC">
              <w:rPr>
                <w:sz w:val="20"/>
                <w:szCs w:val="20"/>
              </w:rPr>
              <w:t>Stakeholders voiced agreement that performance bonus or revenue recovery is needed to support EE programs. A future rule change may be more around the calculation of the performance bonus.</w:t>
            </w:r>
          </w:p>
        </w:tc>
      </w:tr>
    </w:tbl>
    <w:p w14:paraId="49B07B3C" w14:textId="59892600" w:rsidR="006219D1" w:rsidRDefault="006219D1" w:rsidP="006219D1">
      <w:pPr>
        <w:rPr>
          <w:b/>
          <w:bCs/>
        </w:rPr>
      </w:pPr>
      <w:r>
        <w:t xml:space="preserve">For each identified key issue above, the following table summarizes areas of agreement, multiple perspectives expressed and changes that could be needed. </w:t>
      </w:r>
    </w:p>
    <w:tbl>
      <w:tblPr>
        <w:tblStyle w:val="GridTable4-Accent5"/>
        <w:tblW w:w="100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870"/>
        <w:gridCol w:w="1870"/>
        <w:gridCol w:w="3095"/>
        <w:gridCol w:w="1800"/>
        <w:gridCol w:w="1440"/>
      </w:tblGrid>
      <w:tr w:rsidR="000E38EF" w:rsidRPr="00CB46AC" w14:paraId="02A2E1F7" w14:textId="77777777" w:rsidTr="000E38E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70" w:type="dxa"/>
            <w:tcBorders>
              <w:top w:val="none" w:sz="0" w:space="0" w:color="auto"/>
              <w:left w:val="none" w:sz="0" w:space="0" w:color="auto"/>
              <w:bottom w:val="none" w:sz="0" w:space="0" w:color="auto"/>
              <w:right w:val="none" w:sz="0" w:space="0" w:color="auto"/>
            </w:tcBorders>
            <w:shd w:val="clear" w:color="auto" w:fill="25408F"/>
            <w:vAlign w:val="bottom"/>
          </w:tcPr>
          <w:p w14:paraId="12748F68" w14:textId="256D294A" w:rsidR="000E38EF" w:rsidRPr="00CB46AC" w:rsidRDefault="000E38EF" w:rsidP="000E38EF">
            <w:pPr>
              <w:pStyle w:val="TT-TableHeading"/>
              <w:rPr>
                <w:b w:val="0"/>
                <w:bCs/>
                <w:szCs w:val="20"/>
              </w:rPr>
            </w:pPr>
            <w:r w:rsidRPr="00CF0A51">
              <w:t>Key issue</w:t>
            </w:r>
          </w:p>
        </w:tc>
        <w:tc>
          <w:tcPr>
            <w:tcW w:w="1870" w:type="dxa"/>
            <w:tcBorders>
              <w:top w:val="none" w:sz="0" w:space="0" w:color="auto"/>
              <w:left w:val="none" w:sz="0" w:space="0" w:color="auto"/>
              <w:bottom w:val="none" w:sz="0" w:space="0" w:color="auto"/>
              <w:right w:val="none" w:sz="0" w:space="0" w:color="auto"/>
            </w:tcBorders>
            <w:shd w:val="clear" w:color="auto" w:fill="25408F"/>
            <w:vAlign w:val="bottom"/>
          </w:tcPr>
          <w:p w14:paraId="1CAE3DC2" w14:textId="0E8C6D61" w:rsidR="000E38EF" w:rsidRPr="00CB46AC" w:rsidRDefault="000E38EF" w:rsidP="000E38EF">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Areas of agreement</w:t>
            </w:r>
          </w:p>
        </w:tc>
        <w:tc>
          <w:tcPr>
            <w:tcW w:w="3095" w:type="dxa"/>
            <w:tcBorders>
              <w:top w:val="none" w:sz="0" w:space="0" w:color="auto"/>
              <w:left w:val="none" w:sz="0" w:space="0" w:color="auto"/>
              <w:bottom w:val="none" w:sz="0" w:space="0" w:color="auto"/>
              <w:right w:val="none" w:sz="0" w:space="0" w:color="auto"/>
            </w:tcBorders>
            <w:shd w:val="clear" w:color="auto" w:fill="25408F"/>
            <w:vAlign w:val="bottom"/>
          </w:tcPr>
          <w:p w14:paraId="6383FF0F" w14:textId="6998CBB2" w:rsidR="000E38EF" w:rsidRPr="00CB46AC" w:rsidRDefault="000E38EF" w:rsidP="000E38EF">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Areas of debate</w:t>
            </w:r>
          </w:p>
        </w:tc>
        <w:tc>
          <w:tcPr>
            <w:tcW w:w="1800" w:type="dxa"/>
            <w:tcBorders>
              <w:top w:val="none" w:sz="0" w:space="0" w:color="auto"/>
              <w:left w:val="none" w:sz="0" w:space="0" w:color="auto"/>
              <w:bottom w:val="none" w:sz="0" w:space="0" w:color="auto"/>
              <w:right w:val="none" w:sz="0" w:space="0" w:color="auto"/>
            </w:tcBorders>
            <w:shd w:val="clear" w:color="auto" w:fill="25408F"/>
            <w:vAlign w:val="bottom"/>
          </w:tcPr>
          <w:p w14:paraId="59DCDC82" w14:textId="048EFC83" w:rsidR="000E38EF" w:rsidRPr="00CB46AC" w:rsidRDefault="000E38EF" w:rsidP="000E38EF">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 xml:space="preserve">Would this require legislation or rulemaking? If so, what? </w:t>
            </w:r>
          </w:p>
        </w:tc>
        <w:tc>
          <w:tcPr>
            <w:tcW w:w="1440" w:type="dxa"/>
            <w:tcBorders>
              <w:top w:val="none" w:sz="0" w:space="0" w:color="auto"/>
              <w:left w:val="none" w:sz="0" w:space="0" w:color="auto"/>
              <w:bottom w:val="none" w:sz="0" w:space="0" w:color="auto"/>
              <w:right w:val="none" w:sz="0" w:space="0" w:color="auto"/>
            </w:tcBorders>
            <w:shd w:val="clear" w:color="auto" w:fill="25408F"/>
            <w:vAlign w:val="bottom"/>
          </w:tcPr>
          <w:p w14:paraId="09043CF3" w14:textId="6812D97F" w:rsidR="000E38EF" w:rsidRPr="00CB46AC" w:rsidRDefault="000E38EF" w:rsidP="000E38EF">
            <w:pPr>
              <w:pStyle w:val="TT-TableHeading"/>
              <w:cnfStyle w:val="100000000000" w:firstRow="1" w:lastRow="0" w:firstColumn="0" w:lastColumn="0" w:oddVBand="0" w:evenVBand="0" w:oddHBand="0" w:evenHBand="0" w:firstRowFirstColumn="0" w:firstRowLastColumn="0" w:lastRowFirstColumn="0" w:lastRowLastColumn="0"/>
              <w:rPr>
                <w:szCs w:val="20"/>
              </w:rPr>
            </w:pPr>
            <w:r w:rsidRPr="00CF0A51">
              <w:t>Could another process address?</w:t>
            </w:r>
          </w:p>
        </w:tc>
      </w:tr>
      <w:tr w:rsidR="006219D1" w:rsidRPr="00CB46AC" w14:paraId="5D8CA26C" w14:textId="77777777" w:rsidTr="000E38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3DC3703C" w14:textId="77777777" w:rsidR="006219D1" w:rsidRPr="00CB46AC" w:rsidRDefault="006219D1" w:rsidP="00C87A90">
            <w:pPr>
              <w:rPr>
                <w:sz w:val="20"/>
                <w:szCs w:val="20"/>
              </w:rPr>
            </w:pPr>
            <w:r w:rsidRPr="00CB46AC">
              <w:rPr>
                <w:sz w:val="20"/>
                <w:szCs w:val="20"/>
              </w:rPr>
              <w:t>Issue 1: Cost Caps – Administrative, R&amp;D and EECRFs</w:t>
            </w:r>
          </w:p>
        </w:tc>
        <w:tc>
          <w:tcPr>
            <w:tcW w:w="1870" w:type="dxa"/>
          </w:tcPr>
          <w:p w14:paraId="0DB58DC9" w14:textId="0E0621A3" w:rsidR="006219D1" w:rsidRPr="00CB46AC" w:rsidRDefault="00CE2A13" w:rsidP="00C87A90">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IOU</w:t>
            </w:r>
            <w:r w:rsidR="006219D1" w:rsidRPr="00CB46AC">
              <w:rPr>
                <w:sz w:val="20"/>
                <w:szCs w:val="20"/>
              </w:rPr>
              <w:t xml:space="preserve">s shouldn’t have to bump up against the cost cap every year – if this is the case they need to be adjusted. (Example discussed was SWEPCO as the smallest </w:t>
            </w:r>
            <w:r w:rsidR="00D20059">
              <w:rPr>
                <w:sz w:val="20"/>
                <w:szCs w:val="20"/>
              </w:rPr>
              <w:t>IOU</w:t>
            </w:r>
            <w:r w:rsidR="006219D1" w:rsidRPr="00CB46AC">
              <w:rPr>
                <w:sz w:val="20"/>
                <w:szCs w:val="20"/>
              </w:rPr>
              <w:t xml:space="preserve"> that has submitted a “Good Cause Exception” for the cost caps.)</w:t>
            </w:r>
          </w:p>
          <w:p w14:paraId="090D164A"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tc>
        <w:tc>
          <w:tcPr>
            <w:tcW w:w="3095" w:type="dxa"/>
          </w:tcPr>
          <w:p w14:paraId="561CC62F"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Perspective 1:</w:t>
            </w:r>
            <w:r w:rsidRPr="00CB46AC">
              <w:rPr>
                <w:sz w:val="20"/>
                <w:szCs w:val="20"/>
              </w:rPr>
              <w:t xml:space="preserve"> In Sierra Clubs filing they requested cost caps be raised from $1.20-$1.40 per customer to $2.50 as their basis for residential and proposed nearly doubling it for commercial as well. This reflects the level of spending at Austin Energy and CPS Energy.</w:t>
            </w:r>
          </w:p>
          <w:p w14:paraId="7D03CA47" w14:textId="227ADAEC"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Perspective 2:</w:t>
            </w:r>
            <w:r w:rsidRPr="00CB46AC">
              <w:rPr>
                <w:sz w:val="20"/>
                <w:szCs w:val="20"/>
              </w:rPr>
              <w:t xml:space="preserve"> $1.25 to $1.50 is probably the right place for us to have those costs. But maybe they are adjusted for the smaller </w:t>
            </w:r>
            <w:r w:rsidR="000D3FD4">
              <w:rPr>
                <w:sz w:val="20"/>
                <w:szCs w:val="20"/>
              </w:rPr>
              <w:t>IOUs</w:t>
            </w:r>
            <w:r w:rsidRPr="00CB46AC">
              <w:rPr>
                <w:sz w:val="20"/>
                <w:szCs w:val="20"/>
              </w:rPr>
              <w:t xml:space="preserve"> who bump up against them every year.</w:t>
            </w:r>
          </w:p>
          <w:p w14:paraId="1BB8802F" w14:textId="141BA323"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Perspective 3:</w:t>
            </w:r>
            <w:r w:rsidRPr="00CB46AC">
              <w:rPr>
                <w:sz w:val="20"/>
                <w:szCs w:val="20"/>
              </w:rPr>
              <w:t xml:space="preserve"> The cost of electricity has increased significantly so the value of EE has risen significantly. The </w:t>
            </w:r>
            <w:r w:rsidR="000D3FD4">
              <w:rPr>
                <w:sz w:val="20"/>
                <w:szCs w:val="20"/>
              </w:rPr>
              <w:t>IOUs</w:t>
            </w:r>
            <w:r w:rsidRPr="00CB46AC">
              <w:rPr>
                <w:sz w:val="20"/>
                <w:szCs w:val="20"/>
              </w:rPr>
              <w:t xml:space="preserve"> indicated that the cost of measures/programs will be increasing with “Low-hanging fruit” already being captured. Increasing the cost cap is necessary. Let’s not treat the cost cap as a limit.</w:t>
            </w:r>
          </w:p>
          <w:p w14:paraId="5C25FEA4" w14:textId="36E70780"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Perspective 4 RE- Admin/R&amp;D Caps:</w:t>
            </w:r>
            <w:r w:rsidRPr="00CB46AC">
              <w:rPr>
                <w:sz w:val="20"/>
                <w:szCs w:val="20"/>
              </w:rPr>
              <w:t xml:space="preserve"> Is it necessary to increase the R&amp;D Cap when many other states and EE labs, etc. can provide solid real-life examples through their testing etc.? Also – why does Texas put this burden on </w:t>
            </w:r>
            <w:r w:rsidR="000D3FD4">
              <w:rPr>
                <w:sz w:val="20"/>
                <w:szCs w:val="20"/>
              </w:rPr>
              <w:t>IOU</w:t>
            </w:r>
            <w:r w:rsidRPr="00CB46AC">
              <w:rPr>
                <w:sz w:val="20"/>
                <w:szCs w:val="20"/>
              </w:rPr>
              <w:t>s when many other states have regional collaborative organizations to do this (i.e., NEEA/SPEER). Are we requiring them to conduct duplicative efforts?</w:t>
            </w:r>
          </w:p>
          <w:p w14:paraId="6F493583" w14:textId="07DEC62F"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 xml:space="preserve">Perspective 5 RE- Admin/R&amp;D Caps: </w:t>
            </w:r>
            <w:r w:rsidRPr="00CB46AC">
              <w:rPr>
                <w:sz w:val="20"/>
                <w:szCs w:val="20"/>
              </w:rPr>
              <w:t xml:space="preserve"> </w:t>
            </w:r>
            <w:r w:rsidR="009B7991">
              <w:rPr>
                <w:sz w:val="20"/>
                <w:szCs w:val="20"/>
              </w:rPr>
              <w:t>IOU</w:t>
            </w:r>
            <w:r w:rsidRPr="00CB46AC">
              <w:rPr>
                <w:sz w:val="20"/>
                <w:szCs w:val="20"/>
              </w:rPr>
              <w:t>s may use that R&amp;D money to research those solid real-life examples from other states to determine if they are viable options in Texas. It takes resources to research, vet and prioritize new measures to bring into Texas. Some R&amp;D money currently does fund organizations like SPEER. There is a need to vet measures to individual climate zones. What works in Dallas may not work in Houston or El Paso.</w:t>
            </w:r>
          </w:p>
          <w:p w14:paraId="458477B2"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 xml:space="preserve">Perspective 6 – Admin/R&amp;D Caps: </w:t>
            </w:r>
            <w:r w:rsidRPr="00CB46AC">
              <w:rPr>
                <w:sz w:val="20"/>
                <w:szCs w:val="20"/>
              </w:rPr>
              <w:t>If R&amp;D is capped at 10% in PURA then adding combined cap really isn’t assuring it will be spent on R&amp;D. you may just be increasing the admin budgets.</w:t>
            </w:r>
          </w:p>
          <w:p w14:paraId="02DFC526"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Perspective 7 – Admin/R&amp;D Caps:</w:t>
            </w:r>
            <w:r w:rsidRPr="00CB46AC">
              <w:rPr>
                <w:sz w:val="20"/>
                <w:szCs w:val="20"/>
              </w:rPr>
              <w:t xml:space="preserve"> We need to take a long-term view; we need to provide flexibility in the Caps for utilities as we only get a rule making change once in a 10-year span.</w:t>
            </w:r>
          </w:p>
          <w:p w14:paraId="5D9AEC77" w14:textId="15F1CFCB" w:rsidR="006219D1" w:rsidRPr="00CB46AC" w:rsidRDefault="00B274DC" w:rsidP="00FB26D7">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Perspective 8:</w:t>
            </w:r>
            <w:r w:rsidRPr="00CB46AC">
              <w:rPr>
                <w:sz w:val="20"/>
                <w:szCs w:val="20"/>
              </w:rPr>
              <w:t xml:space="preserve"> </w:t>
            </w:r>
            <w:r w:rsidR="00F91313" w:rsidRPr="00CB46AC">
              <w:rPr>
                <w:sz w:val="20"/>
                <w:szCs w:val="20"/>
              </w:rPr>
              <w:t xml:space="preserve">Section 25.182(7)(c) sets a base cost cap and allows for escalation of the cost caps every year based on inflation adjustments. It is, therefore, important to note that the cost caps are not a static number.  </w:t>
            </w:r>
          </w:p>
        </w:tc>
        <w:tc>
          <w:tcPr>
            <w:tcW w:w="1800" w:type="dxa"/>
          </w:tcPr>
          <w:p w14:paraId="1B6E6AC6"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rPr>
              <w:t xml:space="preserve">PURA Sec. 39.905 Goals for Energy Efficiency (e) </w:t>
            </w:r>
          </w:p>
          <w:p w14:paraId="7602FABA"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p w14:paraId="6B59B8BD"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p w14:paraId="6C111E92"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rPr>
              <w:t>25.182 (d)(7) Cost Caps for 2019 and after increases by CPI. 2018 base is $0.001263 per kWh; for commercial $0.000790 per kWh.</w:t>
            </w:r>
          </w:p>
          <w:p w14:paraId="67CEC73D"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tc>
        <w:tc>
          <w:tcPr>
            <w:tcW w:w="1440" w:type="dxa"/>
          </w:tcPr>
          <w:p w14:paraId="02BE6746"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tc>
      </w:tr>
      <w:tr w:rsidR="006219D1" w:rsidRPr="00CB46AC" w14:paraId="75403F27" w14:textId="77777777" w:rsidTr="000E38EF">
        <w:tc>
          <w:tcPr>
            <w:cnfStyle w:val="001000000000" w:firstRow="0" w:lastRow="0" w:firstColumn="1" w:lastColumn="0" w:oddVBand="0" w:evenVBand="0" w:oddHBand="0" w:evenHBand="0" w:firstRowFirstColumn="0" w:firstRowLastColumn="0" w:lastRowFirstColumn="0" w:lastRowLastColumn="0"/>
            <w:tcW w:w="1870" w:type="dxa"/>
          </w:tcPr>
          <w:p w14:paraId="773FF9B3" w14:textId="77777777" w:rsidR="006219D1" w:rsidRPr="00CB46AC" w:rsidRDefault="006219D1" w:rsidP="000E38EF">
            <w:pPr>
              <w:keepNext/>
              <w:keepLines/>
              <w:rPr>
                <w:sz w:val="20"/>
                <w:szCs w:val="20"/>
              </w:rPr>
            </w:pPr>
            <w:r w:rsidRPr="00CB46AC">
              <w:rPr>
                <w:sz w:val="20"/>
                <w:szCs w:val="20"/>
              </w:rPr>
              <w:t>Issue 2: Specific program types of contributions to goals</w:t>
            </w:r>
          </w:p>
        </w:tc>
        <w:tc>
          <w:tcPr>
            <w:tcW w:w="1870" w:type="dxa"/>
          </w:tcPr>
          <w:p w14:paraId="6C5B5185" w14:textId="77777777" w:rsidR="006219D1" w:rsidRPr="00CB46AC" w:rsidRDefault="006219D1" w:rsidP="000E38EF">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rPr>
              <w:t>Stakeholders agreed that reviewing and potentially expanding the HTR definition makes sense. Perhaps LI may become a subset of HTR customers.</w:t>
            </w:r>
          </w:p>
        </w:tc>
        <w:tc>
          <w:tcPr>
            <w:tcW w:w="3095" w:type="dxa"/>
          </w:tcPr>
          <w:p w14:paraId="06534126" w14:textId="77777777" w:rsidR="006219D1" w:rsidRPr="00CB46AC" w:rsidRDefault="006219D1" w:rsidP="000E38EF">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u w:val="single"/>
              </w:rPr>
              <w:t xml:space="preserve"> Perspective 1:</w:t>
            </w:r>
            <w:r w:rsidRPr="00CB46AC">
              <w:rPr>
                <w:sz w:val="20"/>
                <w:szCs w:val="20"/>
              </w:rPr>
              <w:t xml:space="preserve"> Our focus should be on expanding our existing programs and create new programs to increase energy efficiency. Focusing on that versus trying to adjust goals, we will be in a better spot at the end of the day.</w:t>
            </w:r>
          </w:p>
          <w:p w14:paraId="1844DFA9" w14:textId="77777777" w:rsidR="006219D1" w:rsidRPr="00CB46AC" w:rsidRDefault="006219D1" w:rsidP="000E38EF">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u w:val="single"/>
              </w:rPr>
              <w:t xml:space="preserve">Perspective 2: </w:t>
            </w:r>
            <w:r w:rsidRPr="00CB46AC">
              <w:rPr>
                <w:sz w:val="20"/>
                <w:szCs w:val="20"/>
              </w:rPr>
              <w:t>We would like the definition of HTR expanded (right now it basically means LI). We believe it should be expanded to include geography, socioeconomics, or other barriers to participation.</w:t>
            </w:r>
          </w:p>
          <w:p w14:paraId="6578B798" w14:textId="77777777" w:rsidR="006219D1" w:rsidRPr="00CB46AC" w:rsidRDefault="006219D1" w:rsidP="000E38EF">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u w:val="single"/>
              </w:rPr>
              <w:t xml:space="preserve">Perspective 3: </w:t>
            </w:r>
            <w:r w:rsidRPr="00CB46AC">
              <w:rPr>
                <w:sz w:val="20"/>
                <w:szCs w:val="20"/>
              </w:rPr>
              <w:t>The energy efficiency goals should be separate from load management goals for LI and the HTR community. Peak demand reduction should be the primary goal for all other programs and reporting the energy efficiency that is obtained through those measures.</w:t>
            </w:r>
          </w:p>
          <w:p w14:paraId="6328336F" w14:textId="77777777" w:rsidR="006219D1" w:rsidRPr="00CB46AC" w:rsidRDefault="006219D1" w:rsidP="000E38EF">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c>
          <w:tcPr>
            <w:tcW w:w="1800" w:type="dxa"/>
          </w:tcPr>
          <w:p w14:paraId="184A14C6" w14:textId="77777777" w:rsidR="006219D1" w:rsidRPr="00CB46AC" w:rsidRDefault="006219D1" w:rsidP="000E38EF">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c>
          <w:tcPr>
            <w:tcW w:w="1440" w:type="dxa"/>
          </w:tcPr>
          <w:p w14:paraId="6D0BB589" w14:textId="77777777" w:rsidR="006219D1" w:rsidRPr="00CB46AC" w:rsidRDefault="006219D1" w:rsidP="000E38EF">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r>
      <w:tr w:rsidR="000E38EF" w:rsidRPr="00CB46AC" w14:paraId="6411357A" w14:textId="77777777" w:rsidTr="000E38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25408F"/>
            <w:vAlign w:val="bottom"/>
          </w:tcPr>
          <w:p w14:paraId="69CFA938" w14:textId="6F232FBB" w:rsidR="000E38EF" w:rsidRPr="00CB46AC" w:rsidRDefault="000E38EF" w:rsidP="000E38EF">
            <w:pPr>
              <w:pStyle w:val="TT-TableHeading"/>
            </w:pPr>
            <w:r w:rsidRPr="00CF0A51">
              <w:t>Key issue</w:t>
            </w:r>
          </w:p>
        </w:tc>
        <w:tc>
          <w:tcPr>
            <w:tcW w:w="1870" w:type="dxa"/>
            <w:shd w:val="clear" w:color="auto" w:fill="25408F"/>
            <w:vAlign w:val="bottom"/>
          </w:tcPr>
          <w:p w14:paraId="5E9BBD42" w14:textId="33EB1398" w:rsidR="000E38EF" w:rsidRPr="00CB46AC" w:rsidRDefault="000E38EF" w:rsidP="000E38EF">
            <w:pPr>
              <w:pStyle w:val="TT-TableHeading"/>
              <w:cnfStyle w:val="000000100000" w:firstRow="0" w:lastRow="0" w:firstColumn="0" w:lastColumn="0" w:oddVBand="0" w:evenVBand="0" w:oddHBand="1" w:evenHBand="0" w:firstRowFirstColumn="0" w:firstRowLastColumn="0" w:lastRowFirstColumn="0" w:lastRowLastColumn="0"/>
            </w:pPr>
            <w:r w:rsidRPr="00CF0A51">
              <w:t>Areas of agreement</w:t>
            </w:r>
          </w:p>
        </w:tc>
        <w:tc>
          <w:tcPr>
            <w:tcW w:w="3095" w:type="dxa"/>
            <w:shd w:val="clear" w:color="auto" w:fill="25408F"/>
            <w:vAlign w:val="bottom"/>
          </w:tcPr>
          <w:p w14:paraId="17B866BE" w14:textId="5C5B6F08" w:rsidR="000E38EF" w:rsidRPr="00CB46AC" w:rsidRDefault="000E38EF" w:rsidP="000E38EF">
            <w:pPr>
              <w:pStyle w:val="TT-TableHeading"/>
              <w:cnfStyle w:val="000000100000" w:firstRow="0" w:lastRow="0" w:firstColumn="0" w:lastColumn="0" w:oddVBand="0" w:evenVBand="0" w:oddHBand="1" w:evenHBand="0" w:firstRowFirstColumn="0" w:firstRowLastColumn="0" w:lastRowFirstColumn="0" w:lastRowLastColumn="0"/>
              <w:rPr>
                <w:u w:val="single"/>
              </w:rPr>
            </w:pPr>
            <w:r w:rsidRPr="00CF0A51">
              <w:t>Areas of debate</w:t>
            </w:r>
          </w:p>
        </w:tc>
        <w:tc>
          <w:tcPr>
            <w:tcW w:w="1800" w:type="dxa"/>
            <w:shd w:val="clear" w:color="auto" w:fill="25408F"/>
            <w:vAlign w:val="bottom"/>
          </w:tcPr>
          <w:p w14:paraId="184A51BB" w14:textId="3ABF6451" w:rsidR="000E38EF" w:rsidRPr="00CB46AC" w:rsidRDefault="000E38EF" w:rsidP="000E38EF">
            <w:pPr>
              <w:pStyle w:val="TT-TableHeading"/>
              <w:cnfStyle w:val="000000100000" w:firstRow="0" w:lastRow="0" w:firstColumn="0" w:lastColumn="0" w:oddVBand="0" w:evenVBand="0" w:oddHBand="1" w:evenHBand="0" w:firstRowFirstColumn="0" w:firstRowLastColumn="0" w:lastRowFirstColumn="0" w:lastRowLastColumn="0"/>
            </w:pPr>
            <w:r w:rsidRPr="00CF0A51">
              <w:t xml:space="preserve">Would this require legislation or rulemaking? If so, what? </w:t>
            </w:r>
          </w:p>
        </w:tc>
        <w:tc>
          <w:tcPr>
            <w:tcW w:w="1440" w:type="dxa"/>
            <w:shd w:val="clear" w:color="auto" w:fill="25408F"/>
            <w:vAlign w:val="bottom"/>
          </w:tcPr>
          <w:p w14:paraId="762E2A14" w14:textId="5B784C2B" w:rsidR="000E38EF" w:rsidRPr="00CB46AC" w:rsidRDefault="000E38EF" w:rsidP="000E38EF">
            <w:pPr>
              <w:pStyle w:val="TT-TableHeading"/>
              <w:cnfStyle w:val="000000100000" w:firstRow="0" w:lastRow="0" w:firstColumn="0" w:lastColumn="0" w:oddVBand="0" w:evenVBand="0" w:oddHBand="1" w:evenHBand="0" w:firstRowFirstColumn="0" w:firstRowLastColumn="0" w:lastRowFirstColumn="0" w:lastRowLastColumn="0"/>
            </w:pPr>
            <w:r w:rsidRPr="00CF0A51">
              <w:t>Could another process address?</w:t>
            </w:r>
          </w:p>
        </w:tc>
      </w:tr>
      <w:tr w:rsidR="006219D1" w:rsidRPr="00CB46AC" w14:paraId="607FB06B" w14:textId="77777777" w:rsidTr="007E6674">
        <w:tc>
          <w:tcPr>
            <w:cnfStyle w:val="001000000000" w:firstRow="0" w:lastRow="0" w:firstColumn="1" w:lastColumn="0" w:oddVBand="0" w:evenVBand="0" w:oddHBand="0" w:evenHBand="0" w:firstRowFirstColumn="0" w:firstRowLastColumn="0" w:lastRowFirstColumn="0" w:lastRowLastColumn="0"/>
            <w:tcW w:w="1870" w:type="dxa"/>
            <w:shd w:val="clear" w:color="auto" w:fill="DAEEF3" w:themeFill="accent5" w:themeFillTint="33"/>
          </w:tcPr>
          <w:p w14:paraId="3CC3BB12" w14:textId="77777777" w:rsidR="006219D1" w:rsidRPr="00CB46AC" w:rsidRDefault="006219D1" w:rsidP="00C87A90">
            <w:pPr>
              <w:rPr>
                <w:sz w:val="20"/>
                <w:szCs w:val="20"/>
              </w:rPr>
            </w:pPr>
            <w:r w:rsidRPr="00CB46AC">
              <w:rPr>
                <w:sz w:val="20"/>
                <w:szCs w:val="20"/>
              </w:rPr>
              <w:t>Issue 3: Cost Effectiveness</w:t>
            </w:r>
          </w:p>
        </w:tc>
        <w:tc>
          <w:tcPr>
            <w:tcW w:w="1870" w:type="dxa"/>
            <w:shd w:val="clear" w:color="auto" w:fill="DAEEF3" w:themeFill="accent5" w:themeFillTint="33"/>
          </w:tcPr>
          <w:p w14:paraId="3BEC7DC7" w14:textId="77777777" w:rsidR="006219D1" w:rsidRPr="00CB46AC" w:rsidDel="004713B0"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p>
        </w:tc>
        <w:tc>
          <w:tcPr>
            <w:tcW w:w="3095" w:type="dxa"/>
            <w:shd w:val="clear" w:color="auto" w:fill="DAEEF3" w:themeFill="accent5" w:themeFillTint="33"/>
          </w:tcPr>
          <w:p w14:paraId="7AA205C5" w14:textId="77777777"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u w:val="single"/>
              </w:rPr>
              <w:t>Perspective 1:</w:t>
            </w:r>
            <w:r w:rsidRPr="00CB46AC">
              <w:rPr>
                <w:sz w:val="20"/>
                <w:szCs w:val="20"/>
              </w:rPr>
              <w:t xml:space="preserve"> Cost effectiveness should be at the portfolio level vs. program level.</w:t>
            </w:r>
          </w:p>
          <w:p w14:paraId="7AF50182" w14:textId="77777777" w:rsidR="00D641CC" w:rsidRPr="00CB46AC" w:rsidRDefault="006219D1" w:rsidP="00D641CC">
            <w:pPr>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u w:val="single"/>
              </w:rPr>
              <w:t>Perspective 2:</w:t>
            </w:r>
            <w:r w:rsidRPr="00CB46AC">
              <w:rPr>
                <w:sz w:val="20"/>
                <w:szCs w:val="20"/>
              </w:rPr>
              <w:t xml:space="preserve"> Programs should stand on their own and cost effectiveness calculated at the program level. </w:t>
            </w:r>
          </w:p>
          <w:p w14:paraId="3AC6DB92" w14:textId="1FB8D767" w:rsidR="006219D1" w:rsidRPr="00CB46AC" w:rsidRDefault="00D641CC" w:rsidP="00D641CC">
            <w:pPr>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u w:val="single"/>
              </w:rPr>
              <w:t>Persp</w:t>
            </w:r>
            <w:r w:rsidR="005C461E">
              <w:rPr>
                <w:sz w:val="20"/>
                <w:szCs w:val="20"/>
                <w:u w:val="single"/>
              </w:rPr>
              <w:t>e</w:t>
            </w:r>
            <w:r w:rsidRPr="00CB46AC">
              <w:rPr>
                <w:sz w:val="20"/>
                <w:szCs w:val="20"/>
                <w:u w:val="single"/>
              </w:rPr>
              <w:t>ctive 3:</w:t>
            </w:r>
            <w:r w:rsidRPr="00CB46AC">
              <w:rPr>
                <w:sz w:val="20"/>
                <w:szCs w:val="20"/>
              </w:rPr>
              <w:t xml:space="preserve"> </w:t>
            </w:r>
            <w:r w:rsidR="006219D1" w:rsidRPr="00CB46AC">
              <w:rPr>
                <w:sz w:val="20"/>
                <w:szCs w:val="20"/>
              </w:rPr>
              <w:t xml:space="preserve">Pilots should be given a longer period to reach cost effectiveness and show progress. HTR and LI should be calculated differently given they are bound to be more expensive. </w:t>
            </w:r>
          </w:p>
        </w:tc>
        <w:tc>
          <w:tcPr>
            <w:tcW w:w="1800" w:type="dxa"/>
            <w:shd w:val="clear" w:color="auto" w:fill="DAEEF3" w:themeFill="accent5" w:themeFillTint="33"/>
          </w:tcPr>
          <w:p w14:paraId="79E230B3" w14:textId="77777777" w:rsidR="006219D1" w:rsidRPr="00CB46AC" w:rsidDel="004713B0"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p>
        </w:tc>
        <w:tc>
          <w:tcPr>
            <w:tcW w:w="1440" w:type="dxa"/>
            <w:shd w:val="clear" w:color="auto" w:fill="DAEEF3" w:themeFill="accent5" w:themeFillTint="33"/>
          </w:tcPr>
          <w:p w14:paraId="757339DC" w14:textId="77777777"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p>
        </w:tc>
      </w:tr>
      <w:tr w:rsidR="006219D1" w:rsidRPr="00CB46AC" w14:paraId="6390D193" w14:textId="77777777" w:rsidTr="007E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auto"/>
          </w:tcPr>
          <w:p w14:paraId="1D9FF0AF" w14:textId="126CB94E" w:rsidR="006219D1" w:rsidRPr="00CB46AC" w:rsidRDefault="006219D1" w:rsidP="00C87A90">
            <w:pPr>
              <w:rPr>
                <w:sz w:val="20"/>
                <w:szCs w:val="20"/>
              </w:rPr>
            </w:pPr>
            <w:r w:rsidRPr="00CB46AC">
              <w:rPr>
                <w:sz w:val="20"/>
                <w:szCs w:val="20"/>
              </w:rPr>
              <w:t>Issue 4: Opt</w:t>
            </w:r>
            <w:r w:rsidR="0073164F">
              <w:rPr>
                <w:sz w:val="20"/>
                <w:szCs w:val="20"/>
              </w:rPr>
              <w:t>-</w:t>
            </w:r>
            <w:r w:rsidRPr="00CB46AC">
              <w:rPr>
                <w:sz w:val="20"/>
                <w:szCs w:val="20"/>
              </w:rPr>
              <w:t xml:space="preserve"> Outs</w:t>
            </w:r>
          </w:p>
        </w:tc>
        <w:tc>
          <w:tcPr>
            <w:tcW w:w="1870" w:type="dxa"/>
            <w:shd w:val="clear" w:color="auto" w:fill="auto"/>
          </w:tcPr>
          <w:p w14:paraId="1BE12E10" w14:textId="64DC9584"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rPr>
              <w:t>Stakeholders agree that Industrial Opt- outs report</w:t>
            </w:r>
            <w:r w:rsidR="005C461E">
              <w:rPr>
                <w:sz w:val="20"/>
                <w:szCs w:val="20"/>
              </w:rPr>
              <w:t>ing</w:t>
            </w:r>
            <w:r w:rsidRPr="00CB46AC">
              <w:rPr>
                <w:sz w:val="20"/>
                <w:szCs w:val="20"/>
              </w:rPr>
              <w:t xml:space="preserve"> their energy efficiency efforts is worthwhile for Texas</w:t>
            </w:r>
            <w:r w:rsidR="002B0212">
              <w:rPr>
                <w:sz w:val="20"/>
                <w:szCs w:val="20"/>
              </w:rPr>
              <w:t>, but it would require a legislative change</w:t>
            </w:r>
            <w:r w:rsidR="005C461E">
              <w:rPr>
                <w:sz w:val="20"/>
                <w:szCs w:val="20"/>
              </w:rPr>
              <w:t xml:space="preserve"> and that would be difficult</w:t>
            </w:r>
            <w:r w:rsidRPr="00CB46AC">
              <w:rPr>
                <w:sz w:val="20"/>
                <w:szCs w:val="20"/>
              </w:rPr>
              <w:t>.</w:t>
            </w:r>
          </w:p>
        </w:tc>
        <w:tc>
          <w:tcPr>
            <w:tcW w:w="3095" w:type="dxa"/>
            <w:shd w:val="clear" w:color="auto" w:fill="auto"/>
          </w:tcPr>
          <w:p w14:paraId="28B0D00A"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Perspective 1</w:t>
            </w:r>
            <w:r w:rsidRPr="00CB46AC">
              <w:rPr>
                <w:sz w:val="20"/>
                <w:szCs w:val="20"/>
              </w:rPr>
              <w:t>: If the industrial customers opt out, they should be reporting their EE to SECO so the state can capture the EE they are contributing to the State.</w:t>
            </w:r>
          </w:p>
          <w:p w14:paraId="3AA712E2" w14:textId="21E932EF"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Perspective 2:</w:t>
            </w:r>
            <w:r w:rsidRPr="00CB46AC">
              <w:rPr>
                <w:sz w:val="20"/>
                <w:szCs w:val="20"/>
              </w:rPr>
              <w:t xml:space="preserve"> </w:t>
            </w:r>
            <w:r w:rsidR="00CE2979">
              <w:rPr>
                <w:sz w:val="20"/>
                <w:szCs w:val="20"/>
              </w:rPr>
              <w:t xml:space="preserve">A </w:t>
            </w:r>
            <w:r w:rsidRPr="00CB46AC">
              <w:rPr>
                <w:sz w:val="20"/>
                <w:szCs w:val="20"/>
              </w:rPr>
              <w:t xml:space="preserve">This was introduced </w:t>
            </w:r>
            <w:r w:rsidR="00CE2979">
              <w:rPr>
                <w:sz w:val="20"/>
                <w:szCs w:val="20"/>
              </w:rPr>
              <w:t xml:space="preserve">by Sierra Club </w:t>
            </w:r>
            <w:r w:rsidRPr="00CB46AC">
              <w:rPr>
                <w:sz w:val="20"/>
                <w:szCs w:val="20"/>
              </w:rPr>
              <w:t>for Austin Energy and received pushback from the industrial</w:t>
            </w:r>
            <w:r w:rsidR="005C461E">
              <w:rPr>
                <w:sz w:val="20"/>
                <w:szCs w:val="20"/>
              </w:rPr>
              <w:t>s</w:t>
            </w:r>
            <w:r w:rsidRPr="00CB46AC">
              <w:rPr>
                <w:sz w:val="20"/>
                <w:szCs w:val="20"/>
              </w:rPr>
              <w:t>. So, while it is a good idea, it may not happen.</w:t>
            </w:r>
          </w:p>
        </w:tc>
        <w:tc>
          <w:tcPr>
            <w:tcW w:w="1800" w:type="dxa"/>
            <w:shd w:val="clear" w:color="auto" w:fill="auto"/>
          </w:tcPr>
          <w:p w14:paraId="368C3A13"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tc>
        <w:tc>
          <w:tcPr>
            <w:tcW w:w="1440" w:type="dxa"/>
            <w:shd w:val="clear" w:color="auto" w:fill="auto"/>
          </w:tcPr>
          <w:p w14:paraId="3C9CB9CD"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tc>
      </w:tr>
      <w:tr w:rsidR="000E38EF" w:rsidRPr="00CB46AC" w14:paraId="7DF5D44A" w14:textId="77777777" w:rsidTr="000E38EF">
        <w:tc>
          <w:tcPr>
            <w:cnfStyle w:val="001000000000" w:firstRow="0" w:lastRow="0" w:firstColumn="1" w:lastColumn="0" w:oddVBand="0" w:evenVBand="0" w:oddHBand="0" w:evenHBand="0" w:firstRowFirstColumn="0" w:firstRowLastColumn="0" w:lastRowFirstColumn="0" w:lastRowLastColumn="0"/>
            <w:tcW w:w="1870" w:type="dxa"/>
            <w:shd w:val="clear" w:color="auto" w:fill="25408F"/>
            <w:vAlign w:val="bottom"/>
          </w:tcPr>
          <w:p w14:paraId="6F2F902D" w14:textId="6F35E994" w:rsidR="000E38EF" w:rsidRPr="00CB46AC" w:rsidRDefault="000E38EF" w:rsidP="000E38EF">
            <w:pPr>
              <w:pStyle w:val="TT-TableHeading"/>
            </w:pPr>
            <w:r w:rsidRPr="00CF0A51">
              <w:t>Key issue</w:t>
            </w:r>
          </w:p>
        </w:tc>
        <w:tc>
          <w:tcPr>
            <w:tcW w:w="1870" w:type="dxa"/>
            <w:shd w:val="clear" w:color="auto" w:fill="25408F"/>
            <w:vAlign w:val="bottom"/>
          </w:tcPr>
          <w:p w14:paraId="0EBB06B0" w14:textId="024EC722" w:rsidR="000E38EF" w:rsidRPr="00CB46AC"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CF0A51">
              <w:t>Areas of agreement</w:t>
            </w:r>
          </w:p>
        </w:tc>
        <w:tc>
          <w:tcPr>
            <w:tcW w:w="3095" w:type="dxa"/>
            <w:shd w:val="clear" w:color="auto" w:fill="25408F"/>
            <w:vAlign w:val="bottom"/>
          </w:tcPr>
          <w:p w14:paraId="37FC4203" w14:textId="233A1A47" w:rsidR="000E38EF" w:rsidRPr="00CB46AC" w:rsidRDefault="000E38EF" w:rsidP="000E38EF">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CF0A51">
              <w:t>Areas of debate</w:t>
            </w:r>
          </w:p>
        </w:tc>
        <w:tc>
          <w:tcPr>
            <w:tcW w:w="1800" w:type="dxa"/>
            <w:shd w:val="clear" w:color="auto" w:fill="25408F"/>
            <w:vAlign w:val="bottom"/>
          </w:tcPr>
          <w:p w14:paraId="637D5025" w14:textId="070ECEBF" w:rsidR="000E38EF" w:rsidRPr="00CB46AC"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CF0A51">
              <w:t xml:space="preserve">Would this require legislation or rulemaking? If so, what? </w:t>
            </w:r>
          </w:p>
        </w:tc>
        <w:tc>
          <w:tcPr>
            <w:tcW w:w="1440" w:type="dxa"/>
            <w:shd w:val="clear" w:color="auto" w:fill="25408F"/>
            <w:vAlign w:val="bottom"/>
          </w:tcPr>
          <w:p w14:paraId="59787A39" w14:textId="5E1E1B4D" w:rsidR="000E38EF" w:rsidRPr="00CB46AC"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CF0A51">
              <w:t>Could another process address?</w:t>
            </w:r>
          </w:p>
        </w:tc>
      </w:tr>
      <w:tr w:rsidR="006219D1" w:rsidRPr="00CB46AC" w14:paraId="22309C7E" w14:textId="77777777" w:rsidTr="000E38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45C4E804" w14:textId="77777777" w:rsidR="006219D1" w:rsidRPr="00CB46AC" w:rsidRDefault="006219D1" w:rsidP="00C87A90">
            <w:pPr>
              <w:rPr>
                <w:sz w:val="20"/>
                <w:szCs w:val="20"/>
              </w:rPr>
            </w:pPr>
            <w:r w:rsidRPr="00CB46AC">
              <w:rPr>
                <w:sz w:val="20"/>
                <w:szCs w:val="20"/>
              </w:rPr>
              <w:t>Issue 5: Marketing / What roles can REPS Play</w:t>
            </w:r>
          </w:p>
        </w:tc>
        <w:tc>
          <w:tcPr>
            <w:tcW w:w="1870" w:type="dxa"/>
          </w:tcPr>
          <w:p w14:paraId="2E05C5B5"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tc>
        <w:tc>
          <w:tcPr>
            <w:tcW w:w="3095" w:type="dxa"/>
          </w:tcPr>
          <w:p w14:paraId="2E7E8BF1"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Perspective 1:</w:t>
            </w:r>
            <w:r w:rsidRPr="00CB46AC">
              <w:rPr>
                <w:sz w:val="20"/>
                <w:szCs w:val="20"/>
              </w:rPr>
              <w:t xml:space="preserve"> Hitting the admin cost cap can cause barriers to market or including REPs as the budget just isn’t available.</w:t>
            </w:r>
          </w:p>
          <w:p w14:paraId="63DD083F" w14:textId="1C49AA90"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 xml:space="preserve">Perspective 2: </w:t>
            </w:r>
            <w:r w:rsidRPr="00CB46AC">
              <w:rPr>
                <w:sz w:val="20"/>
                <w:szCs w:val="20"/>
              </w:rPr>
              <w:t>REPs may not want to get involved with some of the smaller utility programs as the budget isn’t worth their time getting involved</w:t>
            </w:r>
            <w:r w:rsidR="00CB46AC" w:rsidRPr="00CB46AC">
              <w:rPr>
                <w:sz w:val="20"/>
                <w:szCs w:val="20"/>
              </w:rPr>
              <w:t>.</w:t>
            </w:r>
          </w:p>
          <w:p w14:paraId="55B5C16F"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Perspective 3:</w:t>
            </w:r>
            <w:r w:rsidRPr="00CB46AC">
              <w:rPr>
                <w:sz w:val="20"/>
                <w:szCs w:val="20"/>
              </w:rPr>
              <w:t xml:space="preserve"> More consistent, streamlined programs ERCOT-wide would help REPs get more involved.</w:t>
            </w:r>
          </w:p>
        </w:tc>
        <w:tc>
          <w:tcPr>
            <w:tcW w:w="1800" w:type="dxa"/>
          </w:tcPr>
          <w:p w14:paraId="38CA980A"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tc>
        <w:tc>
          <w:tcPr>
            <w:tcW w:w="1440" w:type="dxa"/>
          </w:tcPr>
          <w:p w14:paraId="4F3793DE"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tc>
      </w:tr>
      <w:tr w:rsidR="000E38EF" w:rsidRPr="00CB46AC" w14:paraId="71F00103" w14:textId="77777777" w:rsidTr="000E38EF">
        <w:tc>
          <w:tcPr>
            <w:cnfStyle w:val="001000000000" w:firstRow="0" w:lastRow="0" w:firstColumn="1" w:lastColumn="0" w:oddVBand="0" w:evenVBand="0" w:oddHBand="0" w:evenHBand="0" w:firstRowFirstColumn="0" w:firstRowLastColumn="0" w:lastRowFirstColumn="0" w:lastRowLastColumn="0"/>
            <w:tcW w:w="1870" w:type="dxa"/>
            <w:shd w:val="clear" w:color="auto" w:fill="25408F"/>
            <w:vAlign w:val="bottom"/>
          </w:tcPr>
          <w:p w14:paraId="69AE709B" w14:textId="3369D61F" w:rsidR="000E38EF" w:rsidRPr="00CB46AC" w:rsidRDefault="000E38EF" w:rsidP="000E38EF">
            <w:pPr>
              <w:pStyle w:val="TT-TableHeading"/>
            </w:pPr>
            <w:r w:rsidRPr="00CF0A51">
              <w:t>Key issue</w:t>
            </w:r>
          </w:p>
        </w:tc>
        <w:tc>
          <w:tcPr>
            <w:tcW w:w="1870" w:type="dxa"/>
            <w:shd w:val="clear" w:color="auto" w:fill="25408F"/>
            <w:vAlign w:val="bottom"/>
          </w:tcPr>
          <w:p w14:paraId="6422C844" w14:textId="7E483288" w:rsidR="000E38EF" w:rsidRPr="00CB46AC"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CF0A51">
              <w:t>Areas of agreement</w:t>
            </w:r>
          </w:p>
        </w:tc>
        <w:tc>
          <w:tcPr>
            <w:tcW w:w="3095" w:type="dxa"/>
            <w:shd w:val="clear" w:color="auto" w:fill="25408F"/>
            <w:vAlign w:val="bottom"/>
          </w:tcPr>
          <w:p w14:paraId="2569D05E" w14:textId="32C7925A" w:rsidR="000E38EF" w:rsidRPr="00CB46AC" w:rsidRDefault="000E38EF" w:rsidP="000E38EF">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CF0A51">
              <w:t>Areas of debate</w:t>
            </w:r>
          </w:p>
        </w:tc>
        <w:tc>
          <w:tcPr>
            <w:tcW w:w="1800" w:type="dxa"/>
            <w:shd w:val="clear" w:color="auto" w:fill="25408F"/>
            <w:vAlign w:val="bottom"/>
          </w:tcPr>
          <w:p w14:paraId="676B5CB2" w14:textId="2D4665C8" w:rsidR="000E38EF" w:rsidRPr="00CB46AC"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CF0A51">
              <w:t xml:space="preserve">Would this require legislation or rulemaking? If so, what? </w:t>
            </w:r>
          </w:p>
        </w:tc>
        <w:tc>
          <w:tcPr>
            <w:tcW w:w="1440" w:type="dxa"/>
            <w:shd w:val="clear" w:color="auto" w:fill="25408F"/>
            <w:vAlign w:val="bottom"/>
          </w:tcPr>
          <w:p w14:paraId="1CCFFB7F" w14:textId="00BB7065" w:rsidR="000E38EF" w:rsidRPr="00CB46AC" w:rsidRDefault="000E38EF" w:rsidP="000E38EF">
            <w:pPr>
              <w:pStyle w:val="TT-TableHeading"/>
              <w:cnfStyle w:val="000000000000" w:firstRow="0" w:lastRow="0" w:firstColumn="0" w:lastColumn="0" w:oddVBand="0" w:evenVBand="0" w:oddHBand="0" w:evenHBand="0" w:firstRowFirstColumn="0" w:firstRowLastColumn="0" w:lastRowFirstColumn="0" w:lastRowLastColumn="0"/>
            </w:pPr>
            <w:r w:rsidRPr="00CF0A51">
              <w:t>Could another process address?</w:t>
            </w:r>
          </w:p>
        </w:tc>
      </w:tr>
      <w:tr w:rsidR="006219D1" w:rsidRPr="00CB46AC" w14:paraId="7ED910DE" w14:textId="77777777" w:rsidTr="007E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auto"/>
          </w:tcPr>
          <w:p w14:paraId="3DF05661" w14:textId="025A98EE" w:rsidR="006219D1" w:rsidRPr="00CB46AC" w:rsidRDefault="006219D1" w:rsidP="00C87A90">
            <w:pPr>
              <w:rPr>
                <w:sz w:val="20"/>
                <w:szCs w:val="20"/>
              </w:rPr>
            </w:pPr>
            <w:r w:rsidRPr="00CB46AC">
              <w:rPr>
                <w:sz w:val="20"/>
                <w:szCs w:val="20"/>
              </w:rPr>
              <w:t>Issue 6</w:t>
            </w:r>
            <w:r w:rsidR="007E6674">
              <w:rPr>
                <w:sz w:val="20"/>
                <w:szCs w:val="20"/>
              </w:rPr>
              <w:t>:</w:t>
            </w:r>
            <w:r w:rsidRPr="00CB46AC">
              <w:rPr>
                <w:sz w:val="20"/>
                <w:szCs w:val="20"/>
              </w:rPr>
              <w:t xml:space="preserve"> Performance Bonuses</w:t>
            </w:r>
          </w:p>
        </w:tc>
        <w:tc>
          <w:tcPr>
            <w:tcW w:w="1870" w:type="dxa"/>
            <w:shd w:val="clear" w:color="auto" w:fill="auto"/>
          </w:tcPr>
          <w:p w14:paraId="482EA174"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tc>
        <w:tc>
          <w:tcPr>
            <w:tcW w:w="3095" w:type="dxa"/>
            <w:shd w:val="clear" w:color="auto" w:fill="auto"/>
          </w:tcPr>
          <w:p w14:paraId="3FF4AD4B"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r w:rsidRPr="00CB46AC">
              <w:rPr>
                <w:sz w:val="20"/>
                <w:szCs w:val="20"/>
                <w:u w:val="single"/>
              </w:rPr>
              <w:t>Perspective 1:</w:t>
            </w:r>
            <w:r w:rsidRPr="00CB46AC">
              <w:rPr>
                <w:sz w:val="20"/>
                <w:szCs w:val="20"/>
              </w:rPr>
              <w:t xml:space="preserve"> We support the performance bonus for utilities that exceed their goals; however, take issue with the way it is calculated and rolled into future program year budgets. Perhaps the performance bonus should be calculated as a maximum percent of the program spend. (i.e., 10%-15%)</w:t>
            </w:r>
          </w:p>
        </w:tc>
        <w:tc>
          <w:tcPr>
            <w:tcW w:w="1800" w:type="dxa"/>
            <w:shd w:val="clear" w:color="auto" w:fill="auto"/>
          </w:tcPr>
          <w:p w14:paraId="28A8DB08"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tc>
        <w:tc>
          <w:tcPr>
            <w:tcW w:w="1440" w:type="dxa"/>
            <w:shd w:val="clear" w:color="auto" w:fill="auto"/>
          </w:tcPr>
          <w:p w14:paraId="70E79200" w14:textId="77777777" w:rsidR="006219D1" w:rsidRPr="00CB46AC" w:rsidRDefault="006219D1" w:rsidP="00C87A90">
            <w:pPr>
              <w:cnfStyle w:val="000000100000" w:firstRow="0" w:lastRow="0" w:firstColumn="0" w:lastColumn="0" w:oddVBand="0" w:evenVBand="0" w:oddHBand="1" w:evenHBand="0" w:firstRowFirstColumn="0" w:firstRowLastColumn="0" w:lastRowFirstColumn="0" w:lastRowLastColumn="0"/>
              <w:rPr>
                <w:sz w:val="20"/>
                <w:szCs w:val="20"/>
              </w:rPr>
            </w:pPr>
          </w:p>
        </w:tc>
      </w:tr>
      <w:tr w:rsidR="006219D1" w:rsidRPr="00CB46AC" w14:paraId="092613D6" w14:textId="77777777" w:rsidTr="007E6674">
        <w:tc>
          <w:tcPr>
            <w:cnfStyle w:val="001000000000" w:firstRow="0" w:lastRow="0" w:firstColumn="1" w:lastColumn="0" w:oddVBand="0" w:evenVBand="0" w:oddHBand="0" w:evenHBand="0" w:firstRowFirstColumn="0" w:firstRowLastColumn="0" w:lastRowFirstColumn="0" w:lastRowLastColumn="0"/>
            <w:tcW w:w="1870" w:type="dxa"/>
            <w:shd w:val="clear" w:color="auto" w:fill="DAEEF3" w:themeFill="accent5" w:themeFillTint="33"/>
          </w:tcPr>
          <w:p w14:paraId="6869130D" w14:textId="77777777" w:rsidR="006219D1" w:rsidRPr="00CB46AC" w:rsidRDefault="006219D1" w:rsidP="00C87A90">
            <w:pPr>
              <w:rPr>
                <w:sz w:val="20"/>
                <w:szCs w:val="20"/>
              </w:rPr>
            </w:pPr>
            <w:r w:rsidRPr="00CB46AC">
              <w:rPr>
                <w:sz w:val="20"/>
                <w:szCs w:val="20"/>
              </w:rPr>
              <w:t>Issue 7: Program Barriers</w:t>
            </w:r>
          </w:p>
        </w:tc>
        <w:tc>
          <w:tcPr>
            <w:tcW w:w="1870" w:type="dxa"/>
            <w:shd w:val="clear" w:color="auto" w:fill="DAEEF3" w:themeFill="accent5" w:themeFillTint="33"/>
          </w:tcPr>
          <w:p w14:paraId="220CC40C" w14:textId="77777777"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p>
        </w:tc>
        <w:tc>
          <w:tcPr>
            <w:tcW w:w="3095" w:type="dxa"/>
            <w:shd w:val="clear" w:color="auto" w:fill="DAEEF3" w:themeFill="accent5" w:themeFillTint="33"/>
          </w:tcPr>
          <w:p w14:paraId="5EC9D088" w14:textId="77777777"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u w:val="single"/>
              </w:rPr>
              <w:t>Perspective 1:</w:t>
            </w:r>
            <w:r w:rsidRPr="00CB46AC">
              <w:rPr>
                <w:sz w:val="20"/>
                <w:szCs w:val="20"/>
              </w:rPr>
              <w:t xml:space="preserve"> We must streamline program delivery. Contractors are not willing to complicate their processes to participate in the programs when they can stay busy without us.</w:t>
            </w:r>
          </w:p>
          <w:p w14:paraId="01FA2A06" w14:textId="77777777"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u w:val="single"/>
              </w:rPr>
              <w:t>Perspective 2:</w:t>
            </w:r>
            <w:r w:rsidRPr="00CB46AC">
              <w:rPr>
                <w:sz w:val="20"/>
                <w:szCs w:val="20"/>
              </w:rPr>
              <w:t xml:space="preserve"> Perhaps we set up a focus group to discuss how EEPRs can be improved to make them easier to understand and provide more transparent reporting. Information may be in there, but we can’t find it.</w:t>
            </w:r>
          </w:p>
          <w:p w14:paraId="0ABD70BD" w14:textId="77777777"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r w:rsidRPr="00CB46AC">
              <w:rPr>
                <w:sz w:val="20"/>
                <w:szCs w:val="20"/>
                <w:u w:val="single"/>
              </w:rPr>
              <w:t>Perspective 3</w:t>
            </w:r>
            <w:r w:rsidRPr="00CB46AC">
              <w:rPr>
                <w:sz w:val="20"/>
                <w:szCs w:val="20"/>
              </w:rPr>
              <w:t>: Innovation will be on the EE programs but will be more expensive with HVAC and lighting baseline changes.</w:t>
            </w:r>
          </w:p>
        </w:tc>
        <w:tc>
          <w:tcPr>
            <w:tcW w:w="1800" w:type="dxa"/>
            <w:shd w:val="clear" w:color="auto" w:fill="DAEEF3" w:themeFill="accent5" w:themeFillTint="33"/>
          </w:tcPr>
          <w:p w14:paraId="209ACA5E" w14:textId="77777777"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p>
        </w:tc>
        <w:tc>
          <w:tcPr>
            <w:tcW w:w="1440" w:type="dxa"/>
            <w:shd w:val="clear" w:color="auto" w:fill="DAEEF3" w:themeFill="accent5" w:themeFillTint="33"/>
          </w:tcPr>
          <w:p w14:paraId="6D524B77" w14:textId="77777777" w:rsidR="006219D1" w:rsidRPr="00CB46AC" w:rsidRDefault="006219D1" w:rsidP="00C87A90">
            <w:pPr>
              <w:cnfStyle w:val="000000000000" w:firstRow="0" w:lastRow="0" w:firstColumn="0" w:lastColumn="0" w:oddVBand="0" w:evenVBand="0" w:oddHBand="0" w:evenHBand="0" w:firstRowFirstColumn="0" w:firstRowLastColumn="0" w:lastRowFirstColumn="0" w:lastRowLastColumn="0"/>
              <w:rPr>
                <w:sz w:val="20"/>
                <w:szCs w:val="20"/>
              </w:rPr>
            </w:pPr>
          </w:p>
        </w:tc>
      </w:tr>
    </w:tbl>
    <w:p w14:paraId="0ECCAC48" w14:textId="5CF9FDC0" w:rsidR="002E75F8" w:rsidRDefault="002E75F8" w:rsidP="002E75F8">
      <w:pPr>
        <w:pStyle w:val="NumberedList"/>
        <w:numPr>
          <w:ilvl w:val="0"/>
          <w:numId w:val="0"/>
        </w:numPr>
      </w:pPr>
    </w:p>
    <w:p w14:paraId="7E64E70D" w14:textId="5462D59B" w:rsidR="002E75F8" w:rsidRDefault="002E75F8" w:rsidP="002E75F8">
      <w:pPr>
        <w:pStyle w:val="Heading2"/>
      </w:pPr>
      <w:r>
        <w:t>Low-income and underserved segments</w:t>
      </w:r>
    </w:p>
    <w:p w14:paraId="5D24207B" w14:textId="77777777" w:rsidR="00690F89" w:rsidRDefault="00690F89" w:rsidP="002E75F8">
      <w:pPr>
        <w:pStyle w:val="NumberedList"/>
        <w:numPr>
          <w:ilvl w:val="0"/>
          <w:numId w:val="0"/>
        </w:numPr>
      </w:pPr>
    </w:p>
    <w:p w14:paraId="41B68BAB" w14:textId="12F7A7D1" w:rsidR="00E53372" w:rsidRDefault="00805D65" w:rsidP="00E53372">
      <w:pPr>
        <w:spacing w:before="0" w:after="160" w:line="259" w:lineRule="auto"/>
        <w:rPr>
          <w:rStyle w:val="normaltextrun"/>
          <w:b/>
          <w:color w:val="000000"/>
          <w:szCs w:val="22"/>
          <w:shd w:val="clear" w:color="auto" w:fill="FFFFFF"/>
        </w:rPr>
      </w:pPr>
      <w:r w:rsidRPr="00690F89">
        <w:rPr>
          <w:rFonts w:eastAsia="Calibri"/>
          <w:b/>
          <w:bCs/>
          <w:sz w:val="24"/>
          <w:szCs w:val="24"/>
        </w:rPr>
        <w:t>Session 1 January 24, 2023</w:t>
      </w:r>
      <w:r w:rsidR="0048312E">
        <w:rPr>
          <w:rFonts w:eastAsia="Calibri"/>
          <w:b/>
          <w:bCs/>
          <w:sz w:val="24"/>
          <w:szCs w:val="24"/>
        </w:rPr>
        <w:t xml:space="preserve">: </w:t>
      </w:r>
      <w:r w:rsidR="0048312E" w:rsidRPr="0048312E">
        <w:rPr>
          <w:rFonts w:eastAsia="Calibri"/>
          <w:b/>
          <w:sz w:val="24"/>
          <w:szCs w:val="24"/>
        </w:rPr>
        <w:t>Low-Income and Hard-to-Reach Programs</w:t>
      </w:r>
    </w:p>
    <w:p w14:paraId="5AAAE2F0" w14:textId="16DC6DA3" w:rsidR="007827FD" w:rsidRPr="00690F89" w:rsidRDefault="007827FD" w:rsidP="00690F89">
      <w:pPr>
        <w:spacing w:before="0" w:after="160" w:line="259" w:lineRule="auto"/>
        <w:rPr>
          <w:rFonts w:eastAsia="Calibri"/>
          <w:b/>
          <w:bCs/>
          <w:sz w:val="20"/>
        </w:rPr>
      </w:pPr>
      <w:r w:rsidRPr="00805D65">
        <w:rPr>
          <w:rStyle w:val="normaltextrun"/>
          <w:color w:val="000000"/>
          <w:szCs w:val="22"/>
          <w:shd w:val="clear" w:color="auto" w:fill="FFFFFF"/>
        </w:rPr>
        <w:t>The table below summarizes the key issues identified and places a priority/level of effort for addressing the issue in a rulemaking</w:t>
      </w:r>
      <w:r w:rsidR="00E53372">
        <w:rPr>
          <w:rStyle w:val="normaltextrun"/>
          <w:color w:val="000000"/>
          <w:szCs w:val="22"/>
          <w:shd w:val="clear" w:color="auto" w:fill="FFFFFF"/>
        </w:rPr>
        <w:t xml:space="preserve"> and/or legislative change</w:t>
      </w:r>
      <w:r w:rsidRPr="00805D65">
        <w:rPr>
          <w:szCs w:val="22"/>
        </w:rPr>
        <w:t xml:space="preserve">. </w:t>
      </w:r>
    </w:p>
    <w:tbl>
      <w:tblPr>
        <w:tblStyle w:val="GridTable4-Accent5"/>
        <w:tblW w:w="100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70"/>
        <w:gridCol w:w="4425"/>
        <w:gridCol w:w="3780"/>
      </w:tblGrid>
      <w:tr w:rsidR="00BD0682" w14:paraId="7431C9E2" w14:textId="77777777" w:rsidTr="007E667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70" w:type="dxa"/>
            <w:tcBorders>
              <w:top w:val="none" w:sz="0" w:space="0" w:color="auto"/>
              <w:left w:val="none" w:sz="0" w:space="0" w:color="auto"/>
              <w:bottom w:val="none" w:sz="0" w:space="0" w:color="auto"/>
              <w:right w:val="none" w:sz="0" w:space="0" w:color="auto"/>
            </w:tcBorders>
            <w:shd w:val="clear" w:color="auto" w:fill="25408F"/>
          </w:tcPr>
          <w:p w14:paraId="1477B611" w14:textId="77777777" w:rsidR="00BD0682" w:rsidRPr="00245F8A" w:rsidRDefault="00BD0682" w:rsidP="000E38EF">
            <w:pPr>
              <w:pStyle w:val="TT-TableHeading"/>
              <w:rPr>
                <w:bCs/>
              </w:rPr>
            </w:pPr>
            <w:r w:rsidRPr="00245F8A">
              <w:t>Issue</w:t>
            </w:r>
          </w:p>
        </w:tc>
        <w:tc>
          <w:tcPr>
            <w:tcW w:w="4425" w:type="dxa"/>
            <w:tcBorders>
              <w:top w:val="none" w:sz="0" w:space="0" w:color="auto"/>
              <w:left w:val="none" w:sz="0" w:space="0" w:color="auto"/>
              <w:bottom w:val="none" w:sz="0" w:space="0" w:color="auto"/>
              <w:right w:val="none" w:sz="0" w:space="0" w:color="auto"/>
            </w:tcBorders>
            <w:shd w:val="clear" w:color="auto" w:fill="25408F"/>
          </w:tcPr>
          <w:p w14:paraId="4F905DBA" w14:textId="77777777" w:rsidR="00BD0682" w:rsidRPr="00245F8A" w:rsidRDefault="00BD0682" w:rsidP="000E38EF">
            <w:pPr>
              <w:pStyle w:val="TT-TableHeading"/>
              <w:cnfStyle w:val="100000000000" w:firstRow="1" w:lastRow="0" w:firstColumn="0" w:lastColumn="0" w:oddVBand="0" w:evenVBand="0" w:oddHBand="0" w:evenHBand="0" w:firstRowFirstColumn="0" w:firstRowLastColumn="0" w:lastRowFirstColumn="0" w:lastRowLastColumn="0"/>
              <w:rPr>
                <w:bCs/>
              </w:rPr>
            </w:pPr>
            <w:r w:rsidRPr="00245F8A">
              <w:t>Summary</w:t>
            </w:r>
          </w:p>
        </w:tc>
        <w:tc>
          <w:tcPr>
            <w:tcW w:w="3780" w:type="dxa"/>
            <w:tcBorders>
              <w:top w:val="none" w:sz="0" w:space="0" w:color="auto"/>
              <w:left w:val="none" w:sz="0" w:space="0" w:color="auto"/>
              <w:bottom w:val="none" w:sz="0" w:space="0" w:color="auto"/>
              <w:right w:val="none" w:sz="0" w:space="0" w:color="auto"/>
            </w:tcBorders>
            <w:shd w:val="clear" w:color="auto" w:fill="25408F"/>
          </w:tcPr>
          <w:p w14:paraId="70688135" w14:textId="1E7ABCD4" w:rsidR="00BD0682" w:rsidRPr="00245F8A" w:rsidRDefault="00BD0682" w:rsidP="000E38EF">
            <w:pPr>
              <w:pStyle w:val="TT-TableHeading"/>
              <w:cnfStyle w:val="100000000000" w:firstRow="1" w:lastRow="0" w:firstColumn="0" w:lastColumn="0" w:oddVBand="0" w:evenVBand="0" w:oddHBand="0" w:evenHBand="0" w:firstRowFirstColumn="0" w:firstRowLastColumn="0" w:lastRowFirstColumn="0" w:lastRowLastColumn="0"/>
              <w:rPr>
                <w:bCs/>
              </w:rPr>
            </w:pPr>
            <w:r w:rsidRPr="00245F8A">
              <w:t xml:space="preserve">Working Group </w:t>
            </w:r>
            <w:r w:rsidR="000E38EF" w:rsidRPr="00245F8A">
              <w:t>priority and why</w:t>
            </w:r>
          </w:p>
        </w:tc>
      </w:tr>
      <w:tr w:rsidR="00BD0682" w14:paraId="68BAA801" w14:textId="77777777" w:rsidTr="000E38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tcPr>
          <w:p w14:paraId="351AD837" w14:textId="77777777" w:rsidR="00BD0682" w:rsidRPr="00245F8A" w:rsidRDefault="00BD0682">
            <w:pPr>
              <w:rPr>
                <w:sz w:val="20"/>
                <w:szCs w:val="20"/>
              </w:rPr>
            </w:pPr>
            <w:r w:rsidRPr="00245F8A">
              <w:rPr>
                <w:sz w:val="20"/>
                <w:szCs w:val="20"/>
              </w:rPr>
              <w:t>Issue 1: Definition Low-Income and Hard-to-Reach (HTR)</w:t>
            </w:r>
          </w:p>
        </w:tc>
        <w:tc>
          <w:tcPr>
            <w:tcW w:w="4425" w:type="dxa"/>
          </w:tcPr>
          <w:p w14:paraId="61E58C39" w14:textId="74BB0900" w:rsidR="00BD0682" w:rsidRPr="00245F8A" w:rsidRDefault="00793EEB">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BD0682" w:rsidRPr="00245F8A">
              <w:rPr>
                <w:sz w:val="20"/>
                <w:szCs w:val="20"/>
              </w:rPr>
              <w:t xml:space="preserve"> defines low-income and hard-to-reach annual household income as at or below 200% of the Federal Poverty guideline</w:t>
            </w:r>
          </w:p>
        </w:tc>
        <w:tc>
          <w:tcPr>
            <w:tcW w:w="3780" w:type="dxa"/>
          </w:tcPr>
          <w:p w14:paraId="3E41432B" w14:textId="77777777" w:rsidR="00BD0682" w:rsidRPr="00245F8A"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245F8A">
              <w:rPr>
                <w:sz w:val="20"/>
                <w:szCs w:val="20"/>
              </w:rPr>
              <w:t>High Priority: All stakeholders supported expanding or broadening the definition of Low-Income and HRT customers. Doing so has the potential to expand/streamline program delivery options and provide services to a broad group of LI and/or HTR customers, such as moderate-income customers and serving rural areas.</w:t>
            </w:r>
          </w:p>
        </w:tc>
      </w:tr>
      <w:tr w:rsidR="00BD0682" w14:paraId="31365B53" w14:textId="77777777" w:rsidTr="000E38EF">
        <w:tc>
          <w:tcPr>
            <w:cnfStyle w:val="001000000000" w:firstRow="0" w:lastRow="0" w:firstColumn="1" w:lastColumn="0" w:oddVBand="0" w:evenVBand="0" w:oddHBand="0" w:evenHBand="0" w:firstRowFirstColumn="0" w:firstRowLastColumn="0" w:lastRowFirstColumn="0" w:lastRowLastColumn="0"/>
            <w:tcW w:w="1870" w:type="dxa"/>
          </w:tcPr>
          <w:p w14:paraId="5BCC10F8" w14:textId="77777777" w:rsidR="00BD0682" w:rsidRPr="00245F8A" w:rsidRDefault="00BD0682" w:rsidP="007E6674">
            <w:pPr>
              <w:keepNext/>
              <w:keepLines/>
              <w:rPr>
                <w:sz w:val="20"/>
                <w:szCs w:val="20"/>
              </w:rPr>
            </w:pPr>
            <w:r w:rsidRPr="00245F8A">
              <w:rPr>
                <w:sz w:val="20"/>
                <w:szCs w:val="20"/>
              </w:rPr>
              <w:t>Issue 2: Low–Income and HTR Programs Level of Goals</w:t>
            </w:r>
          </w:p>
        </w:tc>
        <w:tc>
          <w:tcPr>
            <w:tcW w:w="4425" w:type="dxa"/>
          </w:tcPr>
          <w:p w14:paraId="3EB3D56F" w14:textId="77777777" w:rsidR="00BD0682" w:rsidRPr="00245F8A"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45F8A">
              <w:rPr>
                <w:sz w:val="20"/>
                <w:szCs w:val="20"/>
              </w:rPr>
              <w:t xml:space="preserve">PURA requires the Commission to ensure not less than 10% of ERCOT utility's EE budget is utilized by targeted low-income programs. </w:t>
            </w:r>
          </w:p>
          <w:p w14:paraId="140FC6EA" w14:textId="3FFADE49" w:rsidR="00BD0682" w:rsidRPr="00245F8A" w:rsidRDefault="0014083D"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BD0682" w:rsidRPr="00245F8A">
              <w:rPr>
                <w:sz w:val="20"/>
                <w:szCs w:val="20"/>
              </w:rPr>
              <w:t xml:space="preserve"> requires at least 5% of each utility's total demand reduction comes from HTR customers</w:t>
            </w:r>
          </w:p>
        </w:tc>
        <w:tc>
          <w:tcPr>
            <w:tcW w:w="3780" w:type="dxa"/>
          </w:tcPr>
          <w:p w14:paraId="3C4EAC57" w14:textId="77777777" w:rsidR="00BD0682" w:rsidRPr="00245F8A"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45F8A">
              <w:rPr>
                <w:sz w:val="20"/>
                <w:szCs w:val="20"/>
              </w:rPr>
              <w:t>Medium Priority: If the definition of Low-Income and HTR customers changes, goals must also be reviewed and potentially adjusted as appropriate. Stakeholders voiced that aligning goals with population, geographic location, standard data set, and workforce availability is important.</w:t>
            </w:r>
          </w:p>
        </w:tc>
      </w:tr>
      <w:tr w:rsidR="007E6674" w14:paraId="6B17F283" w14:textId="77777777" w:rsidTr="007E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25408F"/>
          </w:tcPr>
          <w:p w14:paraId="5A04A601" w14:textId="3959C79B" w:rsidR="007E6674" w:rsidRPr="00245F8A" w:rsidRDefault="007E6674" w:rsidP="007E6674">
            <w:pPr>
              <w:pStyle w:val="TT-TableHeading"/>
            </w:pPr>
            <w:r w:rsidRPr="00245F8A">
              <w:t>Issue</w:t>
            </w:r>
          </w:p>
        </w:tc>
        <w:tc>
          <w:tcPr>
            <w:tcW w:w="4425" w:type="dxa"/>
            <w:shd w:val="clear" w:color="auto" w:fill="25408F"/>
          </w:tcPr>
          <w:p w14:paraId="7F6155EB" w14:textId="444B48AB" w:rsidR="007E6674" w:rsidRPr="00245F8A" w:rsidRDefault="007E6674" w:rsidP="007E6674">
            <w:pPr>
              <w:pStyle w:val="TT-TableHeading"/>
              <w:cnfStyle w:val="000000100000" w:firstRow="0" w:lastRow="0" w:firstColumn="0" w:lastColumn="0" w:oddVBand="0" w:evenVBand="0" w:oddHBand="1" w:evenHBand="0" w:firstRowFirstColumn="0" w:firstRowLastColumn="0" w:lastRowFirstColumn="0" w:lastRowLastColumn="0"/>
            </w:pPr>
            <w:r w:rsidRPr="00245F8A">
              <w:t>Summary</w:t>
            </w:r>
          </w:p>
        </w:tc>
        <w:tc>
          <w:tcPr>
            <w:tcW w:w="3780" w:type="dxa"/>
            <w:shd w:val="clear" w:color="auto" w:fill="25408F"/>
          </w:tcPr>
          <w:p w14:paraId="542A053E" w14:textId="172FAD47" w:rsidR="007E6674" w:rsidRPr="00245F8A" w:rsidRDefault="007E6674" w:rsidP="007E6674">
            <w:pPr>
              <w:pStyle w:val="TT-TableHeading"/>
              <w:cnfStyle w:val="000000100000" w:firstRow="0" w:lastRow="0" w:firstColumn="0" w:lastColumn="0" w:oddVBand="0" w:evenVBand="0" w:oddHBand="1" w:evenHBand="0" w:firstRowFirstColumn="0" w:firstRowLastColumn="0" w:lastRowFirstColumn="0" w:lastRowLastColumn="0"/>
            </w:pPr>
            <w:r w:rsidRPr="00245F8A">
              <w:t>Working Group priority and why</w:t>
            </w:r>
          </w:p>
        </w:tc>
      </w:tr>
      <w:tr w:rsidR="00BD0682" w14:paraId="18D0D37A" w14:textId="77777777" w:rsidTr="007E6674">
        <w:trPr>
          <w:trHeight w:val="125"/>
        </w:trPr>
        <w:tc>
          <w:tcPr>
            <w:cnfStyle w:val="001000000000" w:firstRow="0" w:lastRow="0" w:firstColumn="1" w:lastColumn="0" w:oddVBand="0" w:evenVBand="0" w:oddHBand="0" w:evenHBand="0" w:firstRowFirstColumn="0" w:firstRowLastColumn="0" w:lastRowFirstColumn="0" w:lastRowLastColumn="0"/>
            <w:tcW w:w="1870" w:type="dxa"/>
            <w:shd w:val="clear" w:color="auto" w:fill="DAEEF3" w:themeFill="accent5" w:themeFillTint="33"/>
          </w:tcPr>
          <w:p w14:paraId="0D5A5134" w14:textId="77777777" w:rsidR="00BD0682" w:rsidRPr="00245F8A" w:rsidRDefault="00BD0682">
            <w:pPr>
              <w:rPr>
                <w:sz w:val="20"/>
                <w:szCs w:val="20"/>
              </w:rPr>
            </w:pPr>
            <w:r w:rsidRPr="00245F8A">
              <w:rPr>
                <w:sz w:val="20"/>
                <w:szCs w:val="20"/>
              </w:rPr>
              <w:t>Issue 3: Low-Income and HTR Program Cost-effectiveness Standard</w:t>
            </w:r>
          </w:p>
        </w:tc>
        <w:tc>
          <w:tcPr>
            <w:tcW w:w="4425" w:type="dxa"/>
            <w:shd w:val="clear" w:color="auto" w:fill="DAEEF3" w:themeFill="accent5" w:themeFillTint="33"/>
          </w:tcPr>
          <w:p w14:paraId="5CE9E765" w14:textId="42378844" w:rsidR="00BD0682" w:rsidRPr="00245F8A" w:rsidRDefault="00BD0682">
            <w:pPr>
              <w:cnfStyle w:val="000000000000" w:firstRow="0" w:lastRow="0" w:firstColumn="0" w:lastColumn="0" w:oddVBand="0" w:evenVBand="0" w:oddHBand="0" w:evenHBand="0" w:firstRowFirstColumn="0" w:firstRowLastColumn="0" w:lastRowFirstColumn="0" w:lastRowLastColumn="0"/>
              <w:rPr>
                <w:sz w:val="20"/>
                <w:szCs w:val="20"/>
              </w:rPr>
            </w:pPr>
            <w:r w:rsidRPr="00245F8A">
              <w:rPr>
                <w:sz w:val="20"/>
                <w:szCs w:val="20"/>
              </w:rPr>
              <w:t xml:space="preserve">Savings-to-Investment Ratio </w:t>
            </w:r>
            <w:r w:rsidR="0041452F">
              <w:rPr>
                <w:sz w:val="20"/>
                <w:szCs w:val="20"/>
              </w:rPr>
              <w:t xml:space="preserve">(SIR) </w:t>
            </w:r>
            <w:r w:rsidRPr="00245F8A">
              <w:rPr>
                <w:sz w:val="20"/>
                <w:szCs w:val="20"/>
              </w:rPr>
              <w:t>is used for targeted low-income programs, while Utility Cost Test (UCT) used for hard-to-reach programs</w:t>
            </w:r>
          </w:p>
        </w:tc>
        <w:tc>
          <w:tcPr>
            <w:tcW w:w="3780" w:type="dxa"/>
            <w:shd w:val="clear" w:color="auto" w:fill="DAEEF3" w:themeFill="accent5" w:themeFillTint="33"/>
          </w:tcPr>
          <w:p w14:paraId="145EEDAD" w14:textId="77777777" w:rsidR="00BD0682" w:rsidRPr="00245F8A" w:rsidRDefault="00BD0682">
            <w:pPr>
              <w:cnfStyle w:val="000000000000" w:firstRow="0" w:lastRow="0" w:firstColumn="0" w:lastColumn="0" w:oddVBand="0" w:evenVBand="0" w:oddHBand="0" w:evenHBand="0" w:firstRowFirstColumn="0" w:firstRowLastColumn="0" w:lastRowFirstColumn="0" w:lastRowLastColumn="0"/>
              <w:rPr>
                <w:sz w:val="20"/>
                <w:szCs w:val="20"/>
              </w:rPr>
            </w:pPr>
            <w:r w:rsidRPr="00245F8A">
              <w:rPr>
                <w:sz w:val="20"/>
                <w:szCs w:val="20"/>
              </w:rPr>
              <w:t xml:space="preserve">High Priority: Stakeholders voiced adjusting the cost-effectiveness standards from program to portfolio will promote program innovation, expand measures, and streamline overall program delivery. </w:t>
            </w:r>
          </w:p>
        </w:tc>
      </w:tr>
      <w:tr w:rsidR="007E6674" w14:paraId="76CB55F4" w14:textId="77777777" w:rsidTr="007E6674">
        <w:trPr>
          <w:cnfStyle w:val="000000100000" w:firstRow="0" w:lastRow="0" w:firstColumn="0" w:lastColumn="0" w:oddVBand="0" w:evenVBand="0" w:oddHBand="1" w:evenHBand="0" w:firstRowFirstColumn="0" w:firstRowLastColumn="0" w:lastRowFirstColumn="0" w:lastRowLastColumn="0"/>
          <w:trHeight w:val="125"/>
        </w:trPr>
        <w:tc>
          <w:tcPr>
            <w:cnfStyle w:val="001000000000" w:firstRow="0" w:lastRow="0" w:firstColumn="1" w:lastColumn="0" w:oddVBand="0" w:evenVBand="0" w:oddHBand="0" w:evenHBand="0" w:firstRowFirstColumn="0" w:firstRowLastColumn="0" w:lastRowFirstColumn="0" w:lastRowLastColumn="0"/>
            <w:tcW w:w="1870" w:type="dxa"/>
            <w:shd w:val="clear" w:color="auto" w:fill="25408F"/>
          </w:tcPr>
          <w:p w14:paraId="48DC129A" w14:textId="5B32E97B" w:rsidR="007E6674" w:rsidRPr="00245F8A" w:rsidRDefault="007E6674" w:rsidP="007E6674">
            <w:pPr>
              <w:pStyle w:val="TT-TableHeading"/>
            </w:pPr>
            <w:r w:rsidRPr="00245F8A">
              <w:t>Issue</w:t>
            </w:r>
          </w:p>
        </w:tc>
        <w:tc>
          <w:tcPr>
            <w:tcW w:w="4425" w:type="dxa"/>
            <w:shd w:val="clear" w:color="auto" w:fill="25408F"/>
          </w:tcPr>
          <w:p w14:paraId="3DC279A8" w14:textId="4B33E91A" w:rsidR="007E6674" w:rsidRPr="00245F8A" w:rsidRDefault="007E6674" w:rsidP="007E6674">
            <w:pPr>
              <w:pStyle w:val="TT-TableHeading"/>
              <w:cnfStyle w:val="000000100000" w:firstRow="0" w:lastRow="0" w:firstColumn="0" w:lastColumn="0" w:oddVBand="0" w:evenVBand="0" w:oddHBand="1" w:evenHBand="0" w:firstRowFirstColumn="0" w:firstRowLastColumn="0" w:lastRowFirstColumn="0" w:lastRowLastColumn="0"/>
            </w:pPr>
            <w:r w:rsidRPr="00245F8A">
              <w:t>Summary</w:t>
            </w:r>
          </w:p>
        </w:tc>
        <w:tc>
          <w:tcPr>
            <w:tcW w:w="3780" w:type="dxa"/>
            <w:shd w:val="clear" w:color="auto" w:fill="25408F"/>
          </w:tcPr>
          <w:p w14:paraId="68C20875" w14:textId="218266FC" w:rsidR="007E6674" w:rsidRPr="00245F8A" w:rsidRDefault="007E6674" w:rsidP="007E6674">
            <w:pPr>
              <w:pStyle w:val="TT-TableHeading"/>
              <w:cnfStyle w:val="000000100000" w:firstRow="0" w:lastRow="0" w:firstColumn="0" w:lastColumn="0" w:oddVBand="0" w:evenVBand="0" w:oddHBand="1" w:evenHBand="0" w:firstRowFirstColumn="0" w:firstRowLastColumn="0" w:lastRowFirstColumn="0" w:lastRowLastColumn="0"/>
            </w:pPr>
            <w:r w:rsidRPr="00245F8A">
              <w:t>Working Group priority and why</w:t>
            </w:r>
          </w:p>
        </w:tc>
      </w:tr>
      <w:tr w:rsidR="00BD0682" w14:paraId="02719C3E" w14:textId="77777777" w:rsidTr="000E38EF">
        <w:tc>
          <w:tcPr>
            <w:cnfStyle w:val="001000000000" w:firstRow="0" w:lastRow="0" w:firstColumn="1" w:lastColumn="0" w:oddVBand="0" w:evenVBand="0" w:oddHBand="0" w:evenHBand="0" w:firstRowFirstColumn="0" w:firstRowLastColumn="0" w:lastRowFirstColumn="0" w:lastRowLastColumn="0"/>
            <w:tcW w:w="1870" w:type="dxa"/>
          </w:tcPr>
          <w:p w14:paraId="1E4DA9B1" w14:textId="77777777" w:rsidR="00BD0682" w:rsidRPr="00245F8A" w:rsidRDefault="00BD0682">
            <w:pPr>
              <w:rPr>
                <w:sz w:val="20"/>
                <w:szCs w:val="20"/>
              </w:rPr>
            </w:pPr>
            <w:r w:rsidRPr="00245F8A">
              <w:rPr>
                <w:sz w:val="20"/>
                <w:szCs w:val="20"/>
              </w:rPr>
              <w:t>Issue 4: Low-Income and HTR Program Design</w:t>
            </w:r>
          </w:p>
        </w:tc>
        <w:tc>
          <w:tcPr>
            <w:tcW w:w="4425" w:type="dxa"/>
          </w:tcPr>
          <w:p w14:paraId="2473B1E3" w14:textId="77777777" w:rsidR="00BD0682" w:rsidRPr="00245F8A" w:rsidRDefault="00BD0682">
            <w:pPr>
              <w:cnfStyle w:val="000000000000" w:firstRow="0" w:lastRow="0" w:firstColumn="0" w:lastColumn="0" w:oddVBand="0" w:evenVBand="0" w:oddHBand="0" w:evenHBand="0" w:firstRowFirstColumn="0" w:firstRowLastColumn="0" w:lastRowFirstColumn="0" w:lastRowLastColumn="0"/>
              <w:rPr>
                <w:sz w:val="20"/>
                <w:szCs w:val="20"/>
              </w:rPr>
            </w:pPr>
            <w:r w:rsidRPr="00245F8A">
              <w:rPr>
                <w:sz w:val="20"/>
                <w:szCs w:val="20"/>
              </w:rPr>
              <w:t>PURA requires coordination between targeted low-income and federal weatherization programs. Targeted low-income programs must comply with the same audit requirements as federal programs</w:t>
            </w:r>
          </w:p>
        </w:tc>
        <w:tc>
          <w:tcPr>
            <w:tcW w:w="3780" w:type="dxa"/>
          </w:tcPr>
          <w:p w14:paraId="057C08FE" w14:textId="77777777" w:rsidR="00BD0682" w:rsidRPr="00245F8A" w:rsidRDefault="00BD0682">
            <w:pPr>
              <w:cnfStyle w:val="000000000000" w:firstRow="0" w:lastRow="0" w:firstColumn="0" w:lastColumn="0" w:oddVBand="0" w:evenVBand="0" w:oddHBand="0" w:evenHBand="0" w:firstRowFirstColumn="0" w:firstRowLastColumn="0" w:lastRowFirstColumn="0" w:lastRowLastColumn="0"/>
              <w:rPr>
                <w:sz w:val="20"/>
                <w:szCs w:val="20"/>
              </w:rPr>
            </w:pPr>
            <w:r w:rsidRPr="00245F8A">
              <w:rPr>
                <w:sz w:val="20"/>
                <w:szCs w:val="20"/>
              </w:rPr>
              <w:t>Medium Priority: Stakeholders voiced adjusting program design requirements could positively impact access to programs, streamline validation processes and improve communication between stakeholder groups (County, City, REPS, Implementors, Advocacy Groups, and Utilities)</w:t>
            </w:r>
          </w:p>
        </w:tc>
      </w:tr>
    </w:tbl>
    <w:p w14:paraId="66318742" w14:textId="3F9BDB34" w:rsidR="00BD0682" w:rsidRPr="00AE59BB" w:rsidRDefault="00BD0682" w:rsidP="00BD0682">
      <w:pPr>
        <w:rPr>
          <w:b/>
          <w:bCs/>
        </w:rPr>
      </w:pPr>
      <w:r w:rsidRPr="00AE59BB">
        <w:t xml:space="preserve">For each identified key issue above, the following table summarizes areas of agreement, multiple perspectives expressed, and changes that could be needed. </w:t>
      </w:r>
      <w:r w:rsidR="007E6674">
        <w:br/>
      </w:r>
    </w:p>
    <w:tbl>
      <w:tblPr>
        <w:tblStyle w:val="GridTable4-Accent5"/>
        <w:tblW w:w="1014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612"/>
        <w:gridCol w:w="1924"/>
        <w:gridCol w:w="3123"/>
        <w:gridCol w:w="1920"/>
        <w:gridCol w:w="1562"/>
      </w:tblGrid>
      <w:tr w:rsidR="007E6674" w:rsidRPr="00C84AB9" w14:paraId="75B6344C" w14:textId="77777777" w:rsidTr="007E6674">
        <w:trPr>
          <w:cnfStyle w:val="100000000000" w:firstRow="1" w:lastRow="0" w:firstColumn="0" w:lastColumn="0" w:oddVBand="0" w:evenVBand="0" w:oddHBand="0" w:evenHBand="0" w:firstRowFirstColumn="0" w:firstRowLastColumn="0" w:lastRowFirstColumn="0" w:lastRowLastColumn="0"/>
          <w:trHeight w:val="1325"/>
          <w:tblHeader/>
        </w:trPr>
        <w:tc>
          <w:tcPr>
            <w:cnfStyle w:val="001000000000" w:firstRow="0" w:lastRow="0" w:firstColumn="1" w:lastColumn="0" w:oddVBand="0" w:evenVBand="0" w:oddHBand="0" w:evenHBand="0" w:firstRowFirstColumn="0" w:firstRowLastColumn="0" w:lastRowFirstColumn="0" w:lastRowLastColumn="0"/>
            <w:tcW w:w="1612" w:type="dxa"/>
            <w:tcBorders>
              <w:top w:val="none" w:sz="0" w:space="0" w:color="auto"/>
              <w:left w:val="none" w:sz="0" w:space="0" w:color="auto"/>
              <w:bottom w:val="none" w:sz="0" w:space="0" w:color="auto"/>
              <w:right w:val="none" w:sz="0" w:space="0" w:color="auto"/>
            </w:tcBorders>
            <w:shd w:val="clear" w:color="auto" w:fill="25408F"/>
            <w:vAlign w:val="bottom"/>
          </w:tcPr>
          <w:p w14:paraId="151ED362" w14:textId="60187247" w:rsidR="007E6674" w:rsidRPr="00C84AB9" w:rsidRDefault="007E6674" w:rsidP="007E6674">
            <w:pPr>
              <w:pStyle w:val="TT-TableHeading"/>
              <w:rPr>
                <w:b w:val="0"/>
                <w:bCs/>
                <w:szCs w:val="20"/>
              </w:rPr>
            </w:pPr>
            <w:r w:rsidRPr="00CF0A51">
              <w:t>Key issue</w:t>
            </w:r>
          </w:p>
        </w:tc>
        <w:tc>
          <w:tcPr>
            <w:tcW w:w="1924" w:type="dxa"/>
            <w:tcBorders>
              <w:top w:val="none" w:sz="0" w:space="0" w:color="auto"/>
              <w:left w:val="none" w:sz="0" w:space="0" w:color="auto"/>
              <w:bottom w:val="none" w:sz="0" w:space="0" w:color="auto"/>
              <w:right w:val="none" w:sz="0" w:space="0" w:color="auto"/>
            </w:tcBorders>
            <w:shd w:val="clear" w:color="auto" w:fill="25408F"/>
            <w:vAlign w:val="bottom"/>
          </w:tcPr>
          <w:p w14:paraId="5AA0195D" w14:textId="012EAEA2" w:rsidR="007E6674" w:rsidRPr="00C84AB9" w:rsidRDefault="007E6674" w:rsidP="007E6674">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Areas of agreement</w:t>
            </w:r>
          </w:p>
        </w:tc>
        <w:tc>
          <w:tcPr>
            <w:tcW w:w="3123" w:type="dxa"/>
            <w:tcBorders>
              <w:top w:val="none" w:sz="0" w:space="0" w:color="auto"/>
              <w:left w:val="none" w:sz="0" w:space="0" w:color="auto"/>
              <w:bottom w:val="none" w:sz="0" w:space="0" w:color="auto"/>
              <w:right w:val="none" w:sz="0" w:space="0" w:color="auto"/>
            </w:tcBorders>
            <w:shd w:val="clear" w:color="auto" w:fill="25408F"/>
            <w:vAlign w:val="bottom"/>
          </w:tcPr>
          <w:p w14:paraId="4AF9D88E" w14:textId="2B0E74B3" w:rsidR="007E6674" w:rsidRPr="00C84AB9" w:rsidRDefault="007E6674" w:rsidP="007E6674">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Areas of debate</w:t>
            </w:r>
          </w:p>
        </w:tc>
        <w:tc>
          <w:tcPr>
            <w:tcW w:w="1920" w:type="dxa"/>
            <w:tcBorders>
              <w:top w:val="none" w:sz="0" w:space="0" w:color="auto"/>
              <w:left w:val="none" w:sz="0" w:space="0" w:color="auto"/>
              <w:bottom w:val="none" w:sz="0" w:space="0" w:color="auto"/>
              <w:right w:val="none" w:sz="0" w:space="0" w:color="auto"/>
            </w:tcBorders>
            <w:shd w:val="clear" w:color="auto" w:fill="25408F"/>
            <w:vAlign w:val="bottom"/>
          </w:tcPr>
          <w:p w14:paraId="6DF59C45" w14:textId="5E9BCEAB" w:rsidR="007E6674" w:rsidRPr="00C84AB9" w:rsidRDefault="007E6674" w:rsidP="007E6674">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 xml:space="preserve">Would this require legislation or rulemaking? If so, what? </w:t>
            </w:r>
          </w:p>
        </w:tc>
        <w:tc>
          <w:tcPr>
            <w:tcW w:w="1562" w:type="dxa"/>
            <w:tcBorders>
              <w:top w:val="none" w:sz="0" w:space="0" w:color="auto"/>
              <w:left w:val="none" w:sz="0" w:space="0" w:color="auto"/>
              <w:bottom w:val="none" w:sz="0" w:space="0" w:color="auto"/>
              <w:right w:val="none" w:sz="0" w:space="0" w:color="auto"/>
            </w:tcBorders>
            <w:shd w:val="clear" w:color="auto" w:fill="25408F"/>
            <w:vAlign w:val="bottom"/>
          </w:tcPr>
          <w:p w14:paraId="0278F75C" w14:textId="327200AD" w:rsidR="007E6674" w:rsidRPr="00C84AB9" w:rsidRDefault="007E6674" w:rsidP="007E6674">
            <w:pPr>
              <w:pStyle w:val="TT-TableHeading"/>
              <w:cnfStyle w:val="100000000000" w:firstRow="1" w:lastRow="0" w:firstColumn="0" w:lastColumn="0" w:oddVBand="0" w:evenVBand="0" w:oddHBand="0" w:evenHBand="0" w:firstRowFirstColumn="0" w:firstRowLastColumn="0" w:lastRowFirstColumn="0" w:lastRowLastColumn="0"/>
              <w:rPr>
                <w:szCs w:val="20"/>
              </w:rPr>
            </w:pPr>
            <w:r w:rsidRPr="00CF0A51">
              <w:t>Could another process address?</w:t>
            </w:r>
          </w:p>
        </w:tc>
      </w:tr>
      <w:tr w:rsidR="00BD0682" w:rsidRPr="00C84AB9" w14:paraId="44A69F5E" w14:textId="77777777" w:rsidTr="007E6674">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612" w:type="dxa"/>
          </w:tcPr>
          <w:p w14:paraId="6A014A6F" w14:textId="77777777" w:rsidR="00BD0682" w:rsidRPr="00C84AB9" w:rsidRDefault="00BD0682">
            <w:pPr>
              <w:rPr>
                <w:sz w:val="20"/>
                <w:szCs w:val="20"/>
              </w:rPr>
            </w:pPr>
            <w:r w:rsidRPr="00C84AB9">
              <w:rPr>
                <w:sz w:val="20"/>
                <w:szCs w:val="20"/>
              </w:rPr>
              <w:t>Issue 1: Definition Low - Income and Hard-to-Reach (HTR)</w:t>
            </w:r>
          </w:p>
        </w:tc>
        <w:tc>
          <w:tcPr>
            <w:tcW w:w="1924" w:type="dxa"/>
          </w:tcPr>
          <w:p w14:paraId="4E917AC9"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rPr>
              <w:t>Expanding the definition will have a positive impact on Texas in both rural and urban populations and allow for a greater number of program opportunities</w:t>
            </w:r>
          </w:p>
        </w:tc>
        <w:tc>
          <w:tcPr>
            <w:tcW w:w="3123" w:type="dxa"/>
          </w:tcPr>
          <w:p w14:paraId="3E205187" w14:textId="387CAA46"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u w:val="single"/>
              </w:rPr>
              <w:t>Perspective 1:</w:t>
            </w:r>
            <w:r w:rsidRPr="00C84AB9">
              <w:rPr>
                <w:sz w:val="20"/>
                <w:szCs w:val="20"/>
              </w:rPr>
              <w:t xml:space="preserve"> Combine Low-Income and HTR definitions. (</w:t>
            </w:r>
            <w:r w:rsidR="00424833">
              <w:rPr>
                <w:sz w:val="20"/>
                <w:szCs w:val="20"/>
              </w:rPr>
              <w:t xml:space="preserve">Low-income defined in statute and </w:t>
            </w:r>
            <w:r w:rsidRPr="00C84AB9">
              <w:rPr>
                <w:sz w:val="20"/>
                <w:szCs w:val="20"/>
              </w:rPr>
              <w:t>HTR defined in Rule)</w:t>
            </w:r>
          </w:p>
          <w:p w14:paraId="71128FE0" w14:textId="63E46816"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u w:val="single"/>
              </w:rPr>
              <w:t>Perspective 2:</w:t>
            </w:r>
            <w:r w:rsidRPr="00C84AB9">
              <w:rPr>
                <w:sz w:val="20"/>
                <w:szCs w:val="20"/>
              </w:rPr>
              <w:t xml:space="preserve"> Combining Low-Income and HTR definitions may be more difficult for the ERCOT utilities vs. the </w:t>
            </w:r>
            <w:r w:rsidR="00387C0A" w:rsidRPr="00C84AB9">
              <w:rPr>
                <w:sz w:val="20"/>
                <w:szCs w:val="20"/>
              </w:rPr>
              <w:t>non-ERCOT</w:t>
            </w:r>
            <w:r w:rsidRPr="00C84AB9">
              <w:rPr>
                <w:sz w:val="20"/>
                <w:szCs w:val="20"/>
              </w:rPr>
              <w:t xml:space="preserve"> utilities. (Due to PURA low-income specifics)</w:t>
            </w:r>
          </w:p>
          <w:p w14:paraId="0E408FF8" w14:textId="001B2E39"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u w:val="single"/>
              </w:rPr>
              <w:t>Perspective 3:</w:t>
            </w:r>
            <w:r w:rsidRPr="00C84AB9">
              <w:rPr>
                <w:sz w:val="20"/>
                <w:szCs w:val="20"/>
              </w:rPr>
              <w:t xml:space="preserve"> Broaden the "200% at or below Federal Poverty" guideline to include the </w:t>
            </w:r>
            <w:r w:rsidR="00387C0A" w:rsidRPr="00C84AB9">
              <w:rPr>
                <w:sz w:val="20"/>
                <w:szCs w:val="20"/>
              </w:rPr>
              <w:t>moderate-income</w:t>
            </w:r>
            <w:r w:rsidRPr="00C84AB9">
              <w:rPr>
                <w:sz w:val="20"/>
                <w:szCs w:val="20"/>
              </w:rPr>
              <w:t xml:space="preserve"> group.</w:t>
            </w:r>
          </w:p>
          <w:p w14:paraId="6D31CFA4"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u w:val="single"/>
              </w:rPr>
              <w:t>Perspective 4:</w:t>
            </w:r>
            <w:r w:rsidRPr="00C84AB9">
              <w:rPr>
                <w:sz w:val="20"/>
                <w:szCs w:val="20"/>
              </w:rPr>
              <w:t xml:space="preserve"> Use a percentage based on a calculated area Average Median Income (AMI). AMI will also account for the difference in cost of living within the eight utilities' service territories and each utility's service territory</w:t>
            </w:r>
          </w:p>
        </w:tc>
        <w:tc>
          <w:tcPr>
            <w:tcW w:w="1920" w:type="dxa"/>
          </w:tcPr>
          <w:p w14:paraId="2AF7BC71" w14:textId="5C40E10D" w:rsidR="00BD0682" w:rsidRPr="00C84AB9" w:rsidRDefault="004A570A">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rPr>
              <w:t>16 TAC §25.181</w:t>
            </w:r>
            <w:r w:rsidR="00BD0682" w:rsidRPr="00C84AB9">
              <w:rPr>
                <w:sz w:val="20"/>
                <w:szCs w:val="20"/>
              </w:rPr>
              <w:t>(c)(27)</w:t>
            </w:r>
          </w:p>
          <w:p w14:paraId="13AC4C55" w14:textId="77777777" w:rsidR="00FE04C2" w:rsidRPr="00C84AB9" w:rsidRDefault="00FE04C2">
            <w:pPr>
              <w:cnfStyle w:val="000000100000" w:firstRow="0" w:lastRow="0" w:firstColumn="0" w:lastColumn="0" w:oddVBand="0" w:evenVBand="0" w:oddHBand="1" w:evenHBand="0" w:firstRowFirstColumn="0" w:firstRowLastColumn="0" w:lastRowFirstColumn="0" w:lastRowLastColumn="0"/>
              <w:rPr>
                <w:sz w:val="20"/>
                <w:szCs w:val="20"/>
              </w:rPr>
            </w:pPr>
          </w:p>
          <w:p w14:paraId="53304742" w14:textId="26B64BAF" w:rsidR="00BD0682" w:rsidRPr="00C84AB9" w:rsidRDefault="006F2726">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PURA </w:t>
            </w:r>
            <w:r w:rsidR="00BD0682" w:rsidRPr="00C84AB9">
              <w:rPr>
                <w:sz w:val="20"/>
                <w:szCs w:val="20"/>
              </w:rPr>
              <w:t>39.905 (f)</w:t>
            </w:r>
          </w:p>
        </w:tc>
        <w:tc>
          <w:tcPr>
            <w:tcW w:w="1562" w:type="dxa"/>
          </w:tcPr>
          <w:p w14:paraId="7E2AA270"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p>
        </w:tc>
      </w:tr>
      <w:tr w:rsidR="007E6674" w:rsidRPr="00C84AB9" w14:paraId="1C5528E3" w14:textId="77777777" w:rsidTr="007E6674">
        <w:trPr>
          <w:trHeight w:val="253"/>
        </w:trPr>
        <w:tc>
          <w:tcPr>
            <w:cnfStyle w:val="001000000000" w:firstRow="0" w:lastRow="0" w:firstColumn="1" w:lastColumn="0" w:oddVBand="0" w:evenVBand="0" w:oddHBand="0" w:evenHBand="0" w:firstRowFirstColumn="0" w:firstRowLastColumn="0" w:lastRowFirstColumn="0" w:lastRowLastColumn="0"/>
            <w:tcW w:w="1612" w:type="dxa"/>
            <w:shd w:val="clear" w:color="auto" w:fill="25408F"/>
            <w:vAlign w:val="bottom"/>
          </w:tcPr>
          <w:p w14:paraId="2F5C790B" w14:textId="2003A312" w:rsidR="007E6674" w:rsidRPr="00C84AB9" w:rsidRDefault="007E6674" w:rsidP="007E6674">
            <w:pPr>
              <w:pStyle w:val="TT-TableHeading"/>
            </w:pPr>
            <w:r w:rsidRPr="00CF0A51">
              <w:t>Key issue</w:t>
            </w:r>
          </w:p>
        </w:tc>
        <w:tc>
          <w:tcPr>
            <w:tcW w:w="1924" w:type="dxa"/>
            <w:shd w:val="clear" w:color="auto" w:fill="25408F"/>
            <w:vAlign w:val="bottom"/>
          </w:tcPr>
          <w:p w14:paraId="099C7523" w14:textId="4693BCA2" w:rsidR="007E6674" w:rsidRPr="00C84AB9"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CF0A51">
              <w:t>Areas of agreement</w:t>
            </w:r>
          </w:p>
        </w:tc>
        <w:tc>
          <w:tcPr>
            <w:tcW w:w="3123" w:type="dxa"/>
            <w:shd w:val="clear" w:color="auto" w:fill="25408F"/>
            <w:vAlign w:val="bottom"/>
          </w:tcPr>
          <w:p w14:paraId="524686E5" w14:textId="2CB87D8D" w:rsidR="007E6674" w:rsidRPr="00C84AB9" w:rsidRDefault="007E6674" w:rsidP="007E6674">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CF0A51">
              <w:t>Areas of debate</w:t>
            </w:r>
          </w:p>
        </w:tc>
        <w:tc>
          <w:tcPr>
            <w:tcW w:w="1920" w:type="dxa"/>
            <w:shd w:val="clear" w:color="auto" w:fill="25408F"/>
            <w:vAlign w:val="bottom"/>
          </w:tcPr>
          <w:p w14:paraId="76B1EE75" w14:textId="3CB556E0" w:rsidR="007E6674" w:rsidRPr="00C84AB9"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CF0A51">
              <w:t xml:space="preserve">Would this require legislation or rulemaking? If so, what? </w:t>
            </w:r>
          </w:p>
        </w:tc>
        <w:tc>
          <w:tcPr>
            <w:tcW w:w="1562" w:type="dxa"/>
            <w:shd w:val="clear" w:color="auto" w:fill="25408F"/>
            <w:vAlign w:val="bottom"/>
          </w:tcPr>
          <w:p w14:paraId="2315F498" w14:textId="13D2A240" w:rsidR="007E6674" w:rsidRPr="00C84AB9"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CF0A51">
              <w:t>Could another process address?</w:t>
            </w:r>
          </w:p>
        </w:tc>
      </w:tr>
      <w:tr w:rsidR="00BD0682" w:rsidRPr="00C84AB9" w14:paraId="2A331471" w14:textId="77777777" w:rsidTr="007E6674">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612" w:type="dxa"/>
            <w:shd w:val="clear" w:color="auto" w:fill="FFFFFF" w:themeFill="background1"/>
          </w:tcPr>
          <w:p w14:paraId="473CBC94" w14:textId="77777777" w:rsidR="00BD0682" w:rsidRPr="00C84AB9" w:rsidRDefault="00BD0682">
            <w:pPr>
              <w:rPr>
                <w:sz w:val="20"/>
                <w:szCs w:val="20"/>
              </w:rPr>
            </w:pPr>
            <w:r w:rsidRPr="00C84AB9">
              <w:rPr>
                <w:sz w:val="20"/>
                <w:szCs w:val="20"/>
              </w:rPr>
              <w:t>Issue 2: Low–Income and HTR Programs Level of Goals</w:t>
            </w:r>
          </w:p>
        </w:tc>
        <w:tc>
          <w:tcPr>
            <w:tcW w:w="1924" w:type="dxa"/>
            <w:shd w:val="clear" w:color="auto" w:fill="FFFFFF" w:themeFill="background1"/>
          </w:tcPr>
          <w:p w14:paraId="001B5508"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rPr>
              <w:t>Stakeholders voiced the importance of understanding if/how the definition of Low-Income or HRT may change to ensure the goal is set at an appropriate level</w:t>
            </w:r>
          </w:p>
        </w:tc>
        <w:tc>
          <w:tcPr>
            <w:tcW w:w="3123" w:type="dxa"/>
            <w:shd w:val="clear" w:color="auto" w:fill="FFFFFF" w:themeFill="background1"/>
          </w:tcPr>
          <w:p w14:paraId="3399D086"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u w:val="single"/>
              </w:rPr>
              <w:t>Perspective 1:</w:t>
            </w:r>
            <w:r w:rsidRPr="00C84AB9">
              <w:rPr>
                <w:sz w:val="20"/>
                <w:szCs w:val="20"/>
              </w:rPr>
              <w:t xml:space="preserve"> If the definition has no expansion, the goal is appropriate.</w:t>
            </w:r>
          </w:p>
          <w:p w14:paraId="1B71F7DE"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u w:val="single"/>
              </w:rPr>
              <w:t>Perspective 2:</w:t>
            </w:r>
            <w:r w:rsidRPr="00C84AB9">
              <w:rPr>
                <w:sz w:val="20"/>
                <w:szCs w:val="20"/>
              </w:rPr>
              <w:t xml:space="preserve"> More research into the Texas population and demographics is needed to appropriately set goals by utility service territory.</w:t>
            </w:r>
          </w:p>
          <w:p w14:paraId="4ACE91BB" w14:textId="353358A1"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u w:val="single"/>
              </w:rPr>
              <w:t>Perspective 3:</w:t>
            </w:r>
            <w:r w:rsidRPr="00C84AB9">
              <w:rPr>
                <w:sz w:val="20"/>
                <w:szCs w:val="20"/>
              </w:rPr>
              <w:t xml:space="preserve"> Using a standardized shared data set to identify Low-Income / HTR customers would help utilities validate and achieve goals. (</w:t>
            </w:r>
            <w:r w:rsidR="00387C0A" w:rsidRPr="00C84AB9">
              <w:rPr>
                <w:sz w:val="20"/>
                <w:szCs w:val="20"/>
              </w:rPr>
              <w:t>i.e.</w:t>
            </w:r>
            <w:r w:rsidR="00387C0A" w:rsidRPr="00C84AB9">
              <w:rPr>
                <w:sz w:val="20"/>
              </w:rPr>
              <w:t>,</w:t>
            </w:r>
            <w:r w:rsidRPr="00C84AB9">
              <w:rPr>
                <w:sz w:val="20"/>
                <w:szCs w:val="20"/>
              </w:rPr>
              <w:t xml:space="preserve"> census data, list of qualified customers from agencies, such as TDHCA </w:t>
            </w:r>
          </w:p>
        </w:tc>
        <w:tc>
          <w:tcPr>
            <w:tcW w:w="1920" w:type="dxa"/>
            <w:shd w:val="clear" w:color="auto" w:fill="FFFFFF" w:themeFill="background1"/>
          </w:tcPr>
          <w:p w14:paraId="71B98C52"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rPr>
              <w:t>PURA 39.905(f)</w:t>
            </w:r>
          </w:p>
          <w:p w14:paraId="76491A60" w14:textId="2227C21C" w:rsidR="00BD0682" w:rsidRPr="00C84AB9" w:rsidRDefault="004A570A">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rPr>
              <w:t>16 TAC §25.181</w:t>
            </w:r>
            <w:r w:rsidR="00BD0682" w:rsidRPr="00C84AB9">
              <w:rPr>
                <w:sz w:val="20"/>
                <w:szCs w:val="20"/>
              </w:rPr>
              <w:t>(p)(1) and (e)(3)(F)</w:t>
            </w:r>
          </w:p>
          <w:p w14:paraId="6D85C6FD"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p>
        </w:tc>
        <w:tc>
          <w:tcPr>
            <w:tcW w:w="1562" w:type="dxa"/>
            <w:shd w:val="clear" w:color="auto" w:fill="FFFFFF" w:themeFill="background1"/>
          </w:tcPr>
          <w:p w14:paraId="5128EDAE"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rPr>
              <w:t xml:space="preserve">Additional information was provided and available in the Materials Provided folder on Teams </w:t>
            </w:r>
          </w:p>
        </w:tc>
      </w:tr>
      <w:tr w:rsidR="007E6674" w:rsidRPr="00C84AB9" w14:paraId="0A74D4EA" w14:textId="77777777" w:rsidTr="007E6674">
        <w:trPr>
          <w:trHeight w:val="253"/>
        </w:trPr>
        <w:tc>
          <w:tcPr>
            <w:cnfStyle w:val="001000000000" w:firstRow="0" w:lastRow="0" w:firstColumn="1" w:lastColumn="0" w:oddVBand="0" w:evenVBand="0" w:oddHBand="0" w:evenHBand="0" w:firstRowFirstColumn="0" w:firstRowLastColumn="0" w:lastRowFirstColumn="0" w:lastRowLastColumn="0"/>
            <w:tcW w:w="1612" w:type="dxa"/>
            <w:shd w:val="clear" w:color="auto" w:fill="25408F"/>
            <w:vAlign w:val="bottom"/>
          </w:tcPr>
          <w:p w14:paraId="3D69191A" w14:textId="69696F5F" w:rsidR="007E6674" w:rsidRPr="00C84AB9" w:rsidRDefault="007E6674" w:rsidP="007E6674">
            <w:pPr>
              <w:pStyle w:val="TT-TableHeading"/>
            </w:pPr>
            <w:r w:rsidRPr="00CF0A51">
              <w:t>Key issue</w:t>
            </w:r>
          </w:p>
        </w:tc>
        <w:tc>
          <w:tcPr>
            <w:tcW w:w="1924" w:type="dxa"/>
            <w:shd w:val="clear" w:color="auto" w:fill="25408F"/>
            <w:vAlign w:val="bottom"/>
          </w:tcPr>
          <w:p w14:paraId="03F4D915" w14:textId="0CE27E09" w:rsidR="007E6674" w:rsidRPr="00C84AB9"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CF0A51">
              <w:t>Areas of agreement</w:t>
            </w:r>
          </w:p>
        </w:tc>
        <w:tc>
          <w:tcPr>
            <w:tcW w:w="3123" w:type="dxa"/>
            <w:shd w:val="clear" w:color="auto" w:fill="25408F"/>
            <w:vAlign w:val="bottom"/>
          </w:tcPr>
          <w:p w14:paraId="6338BDEA" w14:textId="6809CFAC" w:rsidR="007E6674" w:rsidRPr="00C84AB9" w:rsidRDefault="007E6674" w:rsidP="007E6674">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CF0A51">
              <w:t>Areas of debate</w:t>
            </w:r>
          </w:p>
        </w:tc>
        <w:tc>
          <w:tcPr>
            <w:tcW w:w="1920" w:type="dxa"/>
            <w:shd w:val="clear" w:color="auto" w:fill="25408F"/>
            <w:vAlign w:val="bottom"/>
          </w:tcPr>
          <w:p w14:paraId="12DA9832" w14:textId="5B70E05C" w:rsidR="007E6674" w:rsidRPr="00C84AB9"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CF0A51">
              <w:t xml:space="preserve">Would this require legislation or rulemaking? If so, what? </w:t>
            </w:r>
          </w:p>
        </w:tc>
        <w:tc>
          <w:tcPr>
            <w:tcW w:w="1562" w:type="dxa"/>
            <w:shd w:val="clear" w:color="auto" w:fill="25408F"/>
            <w:vAlign w:val="bottom"/>
          </w:tcPr>
          <w:p w14:paraId="670D7600" w14:textId="145C1253" w:rsidR="007E6674" w:rsidRPr="00C84AB9"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CF0A51">
              <w:t>Could another process address?</w:t>
            </w:r>
          </w:p>
        </w:tc>
      </w:tr>
      <w:tr w:rsidR="00BD0682" w:rsidRPr="00C84AB9" w14:paraId="357443BB" w14:textId="77777777" w:rsidTr="007E6674">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612" w:type="dxa"/>
          </w:tcPr>
          <w:p w14:paraId="04A3F092" w14:textId="77777777" w:rsidR="00BD0682" w:rsidRPr="00C84AB9" w:rsidRDefault="00BD0682">
            <w:pPr>
              <w:rPr>
                <w:sz w:val="20"/>
                <w:szCs w:val="20"/>
              </w:rPr>
            </w:pPr>
            <w:r w:rsidRPr="00C84AB9">
              <w:rPr>
                <w:sz w:val="20"/>
                <w:szCs w:val="20"/>
              </w:rPr>
              <w:t>Issue 3: Low-Income and HTR Program Cost-effectiveness Standard</w:t>
            </w:r>
          </w:p>
        </w:tc>
        <w:tc>
          <w:tcPr>
            <w:tcW w:w="1924" w:type="dxa"/>
          </w:tcPr>
          <w:p w14:paraId="2050C963"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rPr>
              <w:t>Stakeholders voiced transitioning from program-level cost-effectiveness to portfolio cost-effectiveness would have a positive impact on Low-Income and HTR programs</w:t>
            </w:r>
          </w:p>
          <w:p w14:paraId="564AA538"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rPr>
              <w:t>Non-ERCOT Stakeholders voiced the importance of having the option to use their own T&amp;D avoided costs I the future, even if the option is not being used today.</w:t>
            </w:r>
          </w:p>
        </w:tc>
        <w:tc>
          <w:tcPr>
            <w:tcW w:w="3123" w:type="dxa"/>
          </w:tcPr>
          <w:p w14:paraId="08B12F69"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u w:val="single"/>
              </w:rPr>
              <w:t>Perspective 1:</w:t>
            </w:r>
            <w:r w:rsidRPr="00C84AB9">
              <w:rPr>
                <w:sz w:val="20"/>
                <w:szCs w:val="20"/>
              </w:rPr>
              <w:t xml:space="preserve"> Moving to portfolio cost-effectiveness may allow a greater number of innovation/pilots, increased measure bundling and cross-program delivery mechanisms, enhanced incentives (kicker for low-income participants), staffing/contractor stabilization, and improve customer access.</w:t>
            </w:r>
          </w:p>
          <w:p w14:paraId="10748F5C"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u w:val="single"/>
              </w:rPr>
              <w:t>Perspective 2</w:t>
            </w:r>
            <w:r w:rsidRPr="00C84AB9">
              <w:rPr>
                <w:sz w:val="20"/>
                <w:szCs w:val="20"/>
              </w:rPr>
              <w:t>: If portfolio cost-effectiveness is not an option, would ratepayer segmentation (residential and commercial portfolios) be an alternative? Stakeholders voiced any flexibility would be welcomed over stand-alone program cost-effectiveness.</w:t>
            </w:r>
          </w:p>
          <w:p w14:paraId="7C3A432C" w14:textId="2FAF9516"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u w:val="single"/>
              </w:rPr>
              <w:t>Perspective 3:</w:t>
            </w:r>
            <w:r w:rsidRPr="00C84AB9">
              <w:rPr>
                <w:sz w:val="20"/>
                <w:szCs w:val="20"/>
              </w:rPr>
              <w:t xml:space="preserve"> Incorporating additional benefits beyond electricity savings (NEBs -carbon, water) into the program cost-effectiveness calculations will more accurately reflect the program's impact on Low-Income and HTR customers.</w:t>
            </w:r>
          </w:p>
          <w:p w14:paraId="6420145F"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u w:val="single"/>
              </w:rPr>
              <w:t>Perspective 4:</w:t>
            </w:r>
            <w:r w:rsidRPr="00C84AB9">
              <w:rPr>
                <w:sz w:val="20"/>
                <w:szCs w:val="20"/>
              </w:rPr>
              <w:t xml:space="preserve"> Different Cost-effectiveness calculations for different low-income programs and measures allow for trade-offs between the number of participants served and the depth of services provided. A good option for when you have a larger set of the populations trying to be several by the programs.</w:t>
            </w:r>
          </w:p>
          <w:p w14:paraId="70CAFC40" w14:textId="07559344" w:rsidR="00BD0682" w:rsidRPr="00C84AB9" w:rsidRDefault="00BD0682" w:rsidP="006F2726">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u w:val="single"/>
              </w:rPr>
              <w:t>Perspective 5:</w:t>
            </w:r>
            <w:r w:rsidRPr="00C84AB9">
              <w:rPr>
                <w:sz w:val="20"/>
                <w:szCs w:val="20"/>
              </w:rPr>
              <w:t xml:space="preserve"> (Received via email after the call - discussed in Workshop #2)</w:t>
            </w:r>
            <w:r w:rsidR="006F2726">
              <w:rPr>
                <w:sz w:val="20"/>
                <w:szCs w:val="20"/>
              </w:rPr>
              <w:t xml:space="preserve"> </w:t>
            </w:r>
            <w:r w:rsidRPr="00C84AB9">
              <w:rPr>
                <w:sz w:val="20"/>
                <w:szCs w:val="20"/>
              </w:rPr>
              <w:t>Create a methodology for determining the retail energy cost before starting a program year to be used by all utilities and EM&amp;V</w:t>
            </w:r>
            <w:r w:rsidR="006F2726">
              <w:rPr>
                <w:sz w:val="20"/>
                <w:szCs w:val="20"/>
              </w:rPr>
              <w:t xml:space="preserve"> in SIR calculations</w:t>
            </w:r>
            <w:r w:rsidRPr="00C84AB9">
              <w:rPr>
                <w:sz w:val="20"/>
                <w:szCs w:val="20"/>
              </w:rPr>
              <w:t xml:space="preserve">. </w:t>
            </w:r>
          </w:p>
        </w:tc>
        <w:tc>
          <w:tcPr>
            <w:tcW w:w="1920" w:type="dxa"/>
          </w:tcPr>
          <w:p w14:paraId="363C2481" w14:textId="2B77FE5E" w:rsidR="00BD0682" w:rsidRPr="00C84AB9" w:rsidRDefault="004A570A">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rPr>
              <w:t>16 TAC §25.181</w:t>
            </w:r>
            <w:r w:rsidR="00BD0682" w:rsidRPr="00C84AB9">
              <w:rPr>
                <w:sz w:val="20"/>
                <w:szCs w:val="20"/>
              </w:rPr>
              <w:t>(p)(2)</w:t>
            </w:r>
          </w:p>
        </w:tc>
        <w:tc>
          <w:tcPr>
            <w:tcW w:w="1562" w:type="dxa"/>
          </w:tcPr>
          <w:p w14:paraId="5CD1739B"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r w:rsidRPr="00C84AB9">
              <w:rPr>
                <w:sz w:val="20"/>
                <w:szCs w:val="20"/>
              </w:rPr>
              <w:t>EM&amp;V Process change could address and possibly documented in TRM guidance</w:t>
            </w:r>
          </w:p>
          <w:p w14:paraId="6A4CFB70"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p>
          <w:p w14:paraId="2656FABD"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p>
          <w:p w14:paraId="71DDF295"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p>
          <w:p w14:paraId="6AB03ABB"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p>
          <w:p w14:paraId="05CA1AD6" w14:textId="77777777" w:rsidR="00BD0682" w:rsidRPr="00C84AB9" w:rsidRDefault="00BD0682">
            <w:pPr>
              <w:cnfStyle w:val="000000100000" w:firstRow="0" w:lastRow="0" w:firstColumn="0" w:lastColumn="0" w:oddVBand="0" w:evenVBand="0" w:oddHBand="1" w:evenHBand="0" w:firstRowFirstColumn="0" w:firstRowLastColumn="0" w:lastRowFirstColumn="0" w:lastRowLastColumn="0"/>
              <w:rPr>
                <w:sz w:val="20"/>
                <w:szCs w:val="20"/>
              </w:rPr>
            </w:pPr>
          </w:p>
        </w:tc>
      </w:tr>
      <w:tr w:rsidR="00BD0682" w:rsidRPr="00C84AB9" w14:paraId="6273149E" w14:textId="77777777" w:rsidTr="007E6674">
        <w:trPr>
          <w:trHeight w:val="268"/>
        </w:trPr>
        <w:tc>
          <w:tcPr>
            <w:cnfStyle w:val="001000000000" w:firstRow="0" w:lastRow="0" w:firstColumn="1" w:lastColumn="0" w:oddVBand="0" w:evenVBand="0" w:oddHBand="0" w:evenHBand="0" w:firstRowFirstColumn="0" w:firstRowLastColumn="0" w:lastRowFirstColumn="0" w:lastRowLastColumn="0"/>
            <w:tcW w:w="1612" w:type="dxa"/>
          </w:tcPr>
          <w:p w14:paraId="48573B6B" w14:textId="77777777" w:rsidR="00BD0682" w:rsidRPr="00C84AB9" w:rsidRDefault="00BD0682" w:rsidP="007E6674">
            <w:pPr>
              <w:keepNext/>
              <w:keepLines/>
              <w:rPr>
                <w:sz w:val="20"/>
                <w:szCs w:val="20"/>
              </w:rPr>
            </w:pPr>
            <w:r w:rsidRPr="00C84AB9">
              <w:rPr>
                <w:sz w:val="20"/>
                <w:szCs w:val="20"/>
              </w:rPr>
              <w:t>Issue 4: Low-Income and HTR Program Design</w:t>
            </w:r>
          </w:p>
        </w:tc>
        <w:tc>
          <w:tcPr>
            <w:tcW w:w="1924" w:type="dxa"/>
          </w:tcPr>
          <w:p w14:paraId="558F5395" w14:textId="77777777" w:rsidR="00BD0682" w:rsidRPr="00C84AB9"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C84AB9">
              <w:rPr>
                <w:sz w:val="20"/>
                <w:szCs w:val="20"/>
              </w:rPr>
              <w:t xml:space="preserve">Stakeholders agree serving rural communities is a challenge. </w:t>
            </w:r>
          </w:p>
          <w:p w14:paraId="1C596A0B" w14:textId="77777777" w:rsidR="00BD0682" w:rsidRPr="00C84AB9"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C84AB9">
              <w:rPr>
                <w:sz w:val="20"/>
                <w:szCs w:val="20"/>
              </w:rPr>
              <w:t>Stakeholders agree that streamlining the validation process will improve program delivery, and having a standardized data set provided to utilities may help reduce the documentation requirements</w:t>
            </w:r>
          </w:p>
        </w:tc>
        <w:tc>
          <w:tcPr>
            <w:tcW w:w="3123" w:type="dxa"/>
          </w:tcPr>
          <w:p w14:paraId="2D45D960" w14:textId="77777777" w:rsidR="00BD0682" w:rsidRPr="00C84AB9"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6F2726">
              <w:rPr>
                <w:sz w:val="20"/>
                <w:szCs w:val="20"/>
                <w:u w:val="single"/>
              </w:rPr>
              <w:t>Perspective 1:</w:t>
            </w:r>
            <w:r w:rsidRPr="00C84AB9">
              <w:rPr>
                <w:sz w:val="20"/>
                <w:szCs w:val="20"/>
              </w:rPr>
              <w:t xml:space="preserve"> Coordination and collaboration among community agencies have proven difficult. There are competing priorities and "pools" of money. </w:t>
            </w:r>
          </w:p>
          <w:p w14:paraId="01499EF1" w14:textId="77777777" w:rsidR="00BD0682" w:rsidRPr="00C84AB9"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6F2726">
              <w:rPr>
                <w:sz w:val="20"/>
                <w:szCs w:val="20"/>
                <w:u w:val="single"/>
              </w:rPr>
              <w:t>Perspective 2:</w:t>
            </w:r>
            <w:r w:rsidRPr="00C84AB9">
              <w:rPr>
                <w:sz w:val="20"/>
                <w:szCs w:val="20"/>
              </w:rPr>
              <w:t xml:space="preserve"> More coordination and communication with REPs, who have access to Low-Income and HTR customers, is an untapped asset.</w:t>
            </w:r>
          </w:p>
          <w:p w14:paraId="7BB57D05" w14:textId="77777777" w:rsidR="00BD0682" w:rsidRPr="00C84AB9"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6F2726">
              <w:rPr>
                <w:sz w:val="20"/>
                <w:szCs w:val="20"/>
                <w:u w:val="single"/>
              </w:rPr>
              <w:t>Perspective 3:</w:t>
            </w:r>
            <w:r w:rsidRPr="00C84AB9">
              <w:rPr>
                <w:sz w:val="20"/>
                <w:szCs w:val="20"/>
              </w:rPr>
              <w:t xml:space="preserve"> The large REP population impedes comprehensive and fair communication and coordination. </w:t>
            </w:r>
          </w:p>
          <w:p w14:paraId="5A953AF8" w14:textId="77777777" w:rsidR="00BD0682" w:rsidRPr="00C84AB9"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6F2726">
              <w:rPr>
                <w:sz w:val="20"/>
                <w:szCs w:val="20"/>
                <w:u w:val="single"/>
              </w:rPr>
              <w:t>Perspective 4:</w:t>
            </w:r>
            <w:r w:rsidRPr="00C84AB9">
              <w:rPr>
                <w:sz w:val="20"/>
                <w:szCs w:val="20"/>
              </w:rPr>
              <w:t xml:space="preserve"> Being able to validate program eligibility based on geographic location (Geotargeting), such as zip code, would help streamline delivery. </w:t>
            </w:r>
          </w:p>
          <w:p w14:paraId="7BE0EB70" w14:textId="77777777" w:rsidR="00BD0682" w:rsidRPr="00C84AB9"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6F2726">
              <w:rPr>
                <w:sz w:val="20"/>
                <w:szCs w:val="20"/>
                <w:u w:val="single"/>
              </w:rPr>
              <w:t>Perspective 5:</w:t>
            </w:r>
            <w:r w:rsidRPr="00C84AB9">
              <w:rPr>
                <w:sz w:val="20"/>
                <w:szCs w:val="20"/>
              </w:rPr>
              <w:t xml:space="preserve"> Some participants may not qualify who receive benefits under the current definition if just using geotargeting. </w:t>
            </w:r>
          </w:p>
          <w:p w14:paraId="06D3A710" w14:textId="77777777" w:rsidR="00BD0682" w:rsidRPr="00C84AB9"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6F2726">
              <w:rPr>
                <w:sz w:val="20"/>
                <w:szCs w:val="20"/>
                <w:u w:val="single"/>
              </w:rPr>
              <w:t>Perspective 6:</w:t>
            </w:r>
            <w:r w:rsidRPr="00C84AB9">
              <w:rPr>
                <w:sz w:val="20"/>
                <w:szCs w:val="20"/>
              </w:rPr>
              <w:t xml:space="preserve"> For new construction – better coordination between county/city permitting agencies will help developers improve awareness of utility programs and the efficiency of homes and buildings.</w:t>
            </w:r>
          </w:p>
        </w:tc>
        <w:tc>
          <w:tcPr>
            <w:tcW w:w="1920" w:type="dxa"/>
          </w:tcPr>
          <w:p w14:paraId="00BCBA67" w14:textId="77777777" w:rsidR="00BD0682" w:rsidRPr="00C84AB9"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C84AB9">
              <w:rPr>
                <w:sz w:val="20"/>
                <w:szCs w:val="20"/>
              </w:rPr>
              <w:t>PURA 39.905(f)</w:t>
            </w:r>
          </w:p>
        </w:tc>
        <w:tc>
          <w:tcPr>
            <w:tcW w:w="1562" w:type="dxa"/>
          </w:tcPr>
          <w:p w14:paraId="6347ADA0" w14:textId="77777777" w:rsidR="00BD0682" w:rsidRPr="00C84AB9"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C84AB9">
              <w:rPr>
                <w:sz w:val="20"/>
                <w:szCs w:val="20"/>
              </w:rPr>
              <w:t>Consider setting up formal committees or communication channels for interested stakeholders to improve collaboration and coordination between groups with the same interests.</w:t>
            </w:r>
          </w:p>
          <w:p w14:paraId="4FDCB369" w14:textId="77777777" w:rsidR="00BD0682" w:rsidRPr="00C84AB9"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p>
          <w:p w14:paraId="60DB91BE" w14:textId="77777777" w:rsidR="00BD0682" w:rsidRPr="00C84AB9" w:rsidRDefault="00BD0682"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r>
    </w:tbl>
    <w:p w14:paraId="18807E3D" w14:textId="77777777" w:rsidR="00BD0682" w:rsidRPr="00690F89" w:rsidRDefault="00BD0682" w:rsidP="00690F89">
      <w:pPr>
        <w:spacing w:before="0" w:after="160" w:line="259" w:lineRule="auto"/>
        <w:rPr>
          <w:rFonts w:eastAsia="Calibri"/>
          <w:b/>
          <w:bCs/>
          <w:sz w:val="20"/>
        </w:rPr>
      </w:pPr>
    </w:p>
    <w:p w14:paraId="461737C6" w14:textId="156A0DED" w:rsidR="005164ED" w:rsidRDefault="007D05B8" w:rsidP="007E6674">
      <w:pPr>
        <w:keepNext/>
        <w:keepLines/>
        <w:spacing w:before="0" w:after="160" w:line="259" w:lineRule="auto"/>
        <w:rPr>
          <w:rFonts w:eastAsia="Calibri"/>
          <w:b/>
          <w:i/>
        </w:rPr>
      </w:pPr>
      <w:r w:rsidRPr="004B60C3">
        <w:rPr>
          <w:rFonts w:eastAsia="Calibri"/>
          <w:b/>
          <w:bCs/>
          <w:sz w:val="24"/>
          <w:szCs w:val="24"/>
        </w:rPr>
        <w:t xml:space="preserve">Session </w:t>
      </w:r>
      <w:r w:rsidRPr="005164ED">
        <w:rPr>
          <w:rFonts w:eastAsia="Calibri"/>
          <w:b/>
          <w:bCs/>
          <w:sz w:val="24"/>
          <w:szCs w:val="24"/>
        </w:rPr>
        <w:t>2 February 7, 2023</w:t>
      </w:r>
      <w:r w:rsidR="0048312E">
        <w:rPr>
          <w:rFonts w:eastAsia="Calibri"/>
          <w:b/>
          <w:bCs/>
          <w:sz w:val="24"/>
          <w:szCs w:val="24"/>
        </w:rPr>
        <w:t xml:space="preserve">: </w:t>
      </w:r>
      <w:r w:rsidR="0048312E" w:rsidRPr="0048312E">
        <w:rPr>
          <w:rFonts w:eastAsia="Calibri"/>
          <w:b/>
          <w:bCs/>
          <w:sz w:val="24"/>
          <w:szCs w:val="24"/>
        </w:rPr>
        <w:t>Identification of underserved segments</w:t>
      </w:r>
      <w:r w:rsidRPr="005164ED">
        <w:rPr>
          <w:rFonts w:eastAsia="Calibri"/>
          <w:b/>
          <w:bCs/>
          <w:sz w:val="24"/>
          <w:szCs w:val="24"/>
        </w:rPr>
        <w:t xml:space="preserve"> </w:t>
      </w:r>
    </w:p>
    <w:p w14:paraId="4591662C" w14:textId="180655D3" w:rsidR="000E1895" w:rsidRDefault="000E1895" w:rsidP="007E6674">
      <w:pPr>
        <w:keepNext/>
        <w:keepLines/>
        <w:spacing w:before="0" w:after="160" w:line="259" w:lineRule="auto"/>
      </w:pPr>
      <w:r w:rsidRPr="00870E10">
        <w:rPr>
          <w:rFonts w:eastAsia="Calibri"/>
        </w:rPr>
        <w:t>The table below summarizes the key issues identified and places a priority/level of effort for addressing the issue in a rulemaking</w:t>
      </w:r>
      <w:r w:rsidR="005164ED">
        <w:rPr>
          <w:rFonts w:eastAsia="Calibri"/>
        </w:rPr>
        <w:t xml:space="preserve"> and/or legislative change</w:t>
      </w:r>
      <w:r w:rsidRPr="00870E10">
        <w:rPr>
          <w:rFonts w:eastAsia="Calibri"/>
        </w:rPr>
        <w:t>.</w:t>
      </w:r>
    </w:p>
    <w:tbl>
      <w:tblPr>
        <w:tblStyle w:val="GridTable4-Accent5"/>
        <w:tblW w:w="100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032"/>
        <w:gridCol w:w="4319"/>
        <w:gridCol w:w="3724"/>
      </w:tblGrid>
      <w:tr w:rsidR="000E1895" w14:paraId="39ED0907" w14:textId="77777777" w:rsidTr="007E66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tcBorders>
              <w:top w:val="none" w:sz="0" w:space="0" w:color="auto"/>
              <w:left w:val="none" w:sz="0" w:space="0" w:color="auto"/>
              <w:bottom w:val="none" w:sz="0" w:space="0" w:color="auto"/>
              <w:right w:val="none" w:sz="0" w:space="0" w:color="auto"/>
            </w:tcBorders>
            <w:shd w:val="clear" w:color="auto" w:fill="25408F"/>
          </w:tcPr>
          <w:p w14:paraId="76098810" w14:textId="77777777" w:rsidR="000E1895" w:rsidRPr="00870E10" w:rsidRDefault="000E1895" w:rsidP="007E6674">
            <w:pPr>
              <w:pStyle w:val="TT-TableHeading"/>
              <w:keepNext/>
              <w:keepLines/>
            </w:pPr>
            <w:r w:rsidRPr="00870E10">
              <w:t>Issue</w:t>
            </w:r>
          </w:p>
        </w:tc>
        <w:tc>
          <w:tcPr>
            <w:tcW w:w="4319" w:type="dxa"/>
            <w:tcBorders>
              <w:top w:val="none" w:sz="0" w:space="0" w:color="auto"/>
              <w:left w:val="none" w:sz="0" w:space="0" w:color="auto"/>
              <w:bottom w:val="none" w:sz="0" w:space="0" w:color="auto"/>
              <w:right w:val="none" w:sz="0" w:space="0" w:color="auto"/>
            </w:tcBorders>
            <w:shd w:val="clear" w:color="auto" w:fill="25408F"/>
          </w:tcPr>
          <w:p w14:paraId="66B5C519" w14:textId="77777777" w:rsidR="000E1895" w:rsidRPr="00870E10" w:rsidRDefault="000E1895" w:rsidP="007E6674">
            <w:pPr>
              <w:pStyle w:val="TT-TableHeading"/>
              <w:keepNext/>
              <w:keepLines/>
              <w:cnfStyle w:val="100000000000" w:firstRow="1" w:lastRow="0" w:firstColumn="0" w:lastColumn="0" w:oddVBand="0" w:evenVBand="0" w:oddHBand="0" w:evenHBand="0" w:firstRowFirstColumn="0" w:firstRowLastColumn="0" w:lastRowFirstColumn="0" w:lastRowLastColumn="0"/>
            </w:pPr>
            <w:r w:rsidRPr="00870E10">
              <w:t>Summary</w:t>
            </w:r>
          </w:p>
        </w:tc>
        <w:tc>
          <w:tcPr>
            <w:tcW w:w="3724" w:type="dxa"/>
            <w:tcBorders>
              <w:top w:val="none" w:sz="0" w:space="0" w:color="auto"/>
              <w:left w:val="none" w:sz="0" w:space="0" w:color="auto"/>
              <w:bottom w:val="none" w:sz="0" w:space="0" w:color="auto"/>
              <w:right w:val="none" w:sz="0" w:space="0" w:color="auto"/>
            </w:tcBorders>
            <w:shd w:val="clear" w:color="auto" w:fill="25408F"/>
          </w:tcPr>
          <w:p w14:paraId="66573083" w14:textId="77777777" w:rsidR="000E1895" w:rsidRPr="00870E10" w:rsidRDefault="000E1895" w:rsidP="007E6674">
            <w:pPr>
              <w:pStyle w:val="TT-TableHeading"/>
              <w:keepNext/>
              <w:keepLines/>
              <w:cnfStyle w:val="100000000000" w:firstRow="1" w:lastRow="0" w:firstColumn="0" w:lastColumn="0" w:oddVBand="0" w:evenVBand="0" w:oddHBand="0" w:evenHBand="0" w:firstRowFirstColumn="0" w:firstRowLastColumn="0" w:lastRowFirstColumn="0" w:lastRowLastColumn="0"/>
            </w:pPr>
            <w:r w:rsidRPr="00870E10">
              <w:t>Working Group Priority and Why</w:t>
            </w:r>
          </w:p>
        </w:tc>
      </w:tr>
      <w:tr w:rsidR="000E1895" w14:paraId="6C661441" w14:textId="77777777" w:rsidTr="007E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tcPr>
          <w:p w14:paraId="5580198C" w14:textId="77777777" w:rsidR="000E1895" w:rsidRPr="00870E10" w:rsidRDefault="000E1895" w:rsidP="007E6674">
            <w:pPr>
              <w:keepNext/>
              <w:keepLines/>
              <w:rPr>
                <w:sz w:val="20"/>
                <w:szCs w:val="20"/>
              </w:rPr>
            </w:pPr>
            <w:r w:rsidRPr="00870E10">
              <w:rPr>
                <w:sz w:val="20"/>
                <w:szCs w:val="20"/>
              </w:rPr>
              <w:t>Issue 1: Definition of Underserved Segments</w:t>
            </w:r>
          </w:p>
        </w:tc>
        <w:tc>
          <w:tcPr>
            <w:tcW w:w="4319" w:type="dxa"/>
          </w:tcPr>
          <w:p w14:paraId="2E60FF0E" w14:textId="320D7597" w:rsidR="000E1895" w:rsidRPr="00870E10" w:rsidRDefault="0014083D"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0E1895" w:rsidRPr="00870E10">
              <w:rPr>
                <w:sz w:val="20"/>
                <w:szCs w:val="20"/>
              </w:rPr>
              <w:t xml:space="preserve"> defines HTR annual household income as at or below 200% of Federal Poverty guidelines, and savings from HTR customers shall be at least 5% of each utility’s demand reduction goal.</w:t>
            </w:r>
          </w:p>
        </w:tc>
        <w:tc>
          <w:tcPr>
            <w:tcW w:w="3724" w:type="dxa"/>
          </w:tcPr>
          <w:p w14:paraId="5A2584D7" w14:textId="77777777" w:rsidR="000E1895" w:rsidRPr="00870E10" w:rsidRDefault="000E1895"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870E10">
              <w:rPr>
                <w:b/>
                <w:sz w:val="20"/>
                <w:szCs w:val="20"/>
              </w:rPr>
              <w:t>High Priority:</w:t>
            </w:r>
            <w:r w:rsidRPr="00870E10">
              <w:rPr>
                <w:sz w:val="20"/>
                <w:szCs w:val="20"/>
              </w:rPr>
              <w:t xml:space="preserve"> Stakeholders voiced a definition may be necessary, but taking into consideration how rigid the definition is also important to not exclude those that will benefit from these programs.</w:t>
            </w:r>
          </w:p>
        </w:tc>
      </w:tr>
      <w:tr w:rsidR="007E6674" w14:paraId="49AA93E2" w14:textId="77777777" w:rsidTr="007E6674">
        <w:tc>
          <w:tcPr>
            <w:cnfStyle w:val="001000000000" w:firstRow="0" w:lastRow="0" w:firstColumn="1" w:lastColumn="0" w:oddVBand="0" w:evenVBand="0" w:oddHBand="0" w:evenHBand="0" w:firstRowFirstColumn="0" w:firstRowLastColumn="0" w:lastRowFirstColumn="0" w:lastRowLastColumn="0"/>
            <w:tcW w:w="2032" w:type="dxa"/>
            <w:shd w:val="clear" w:color="auto" w:fill="25408F"/>
          </w:tcPr>
          <w:p w14:paraId="6034418E" w14:textId="6A4EC3C7" w:rsidR="007E6674" w:rsidRPr="00870E10" w:rsidRDefault="007E6674" w:rsidP="007E6674">
            <w:pPr>
              <w:pStyle w:val="TT-TableHeading"/>
            </w:pPr>
            <w:r w:rsidRPr="00870E10">
              <w:t>Issue</w:t>
            </w:r>
          </w:p>
        </w:tc>
        <w:tc>
          <w:tcPr>
            <w:tcW w:w="4319" w:type="dxa"/>
            <w:shd w:val="clear" w:color="auto" w:fill="25408F"/>
          </w:tcPr>
          <w:p w14:paraId="4FC3CBD6" w14:textId="6AB99C28" w:rsidR="007E6674"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870E10">
              <w:t>Summary</w:t>
            </w:r>
          </w:p>
        </w:tc>
        <w:tc>
          <w:tcPr>
            <w:tcW w:w="3724" w:type="dxa"/>
            <w:shd w:val="clear" w:color="auto" w:fill="25408F"/>
          </w:tcPr>
          <w:p w14:paraId="256FB61F" w14:textId="6DA895D3" w:rsidR="007E6674" w:rsidRPr="00870E10"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870E10">
              <w:t>Working Group Priority and Why</w:t>
            </w:r>
          </w:p>
        </w:tc>
      </w:tr>
      <w:tr w:rsidR="000E1895" w14:paraId="738AA0A2" w14:textId="77777777" w:rsidTr="007E6674">
        <w:trPr>
          <w:cnfStyle w:val="000000100000" w:firstRow="0" w:lastRow="0" w:firstColumn="0" w:lastColumn="0" w:oddVBand="0" w:evenVBand="0" w:oddHBand="1" w:evenHBand="0" w:firstRowFirstColumn="0" w:firstRowLastColumn="0" w:lastRowFirstColumn="0" w:lastRowLastColumn="0"/>
          <w:trHeight w:val="125"/>
        </w:trPr>
        <w:tc>
          <w:tcPr>
            <w:cnfStyle w:val="001000000000" w:firstRow="0" w:lastRow="0" w:firstColumn="1" w:lastColumn="0" w:oddVBand="0" w:evenVBand="0" w:oddHBand="0" w:evenHBand="0" w:firstRowFirstColumn="0" w:firstRowLastColumn="0" w:lastRowFirstColumn="0" w:lastRowLastColumn="0"/>
            <w:tcW w:w="2032" w:type="dxa"/>
            <w:shd w:val="clear" w:color="auto" w:fill="FFFFFF" w:themeFill="background1"/>
          </w:tcPr>
          <w:p w14:paraId="2323EDE3" w14:textId="77777777" w:rsidR="000E1895" w:rsidRPr="00870E10" w:rsidRDefault="000E1895" w:rsidP="008534D6">
            <w:pPr>
              <w:rPr>
                <w:sz w:val="20"/>
                <w:szCs w:val="20"/>
              </w:rPr>
            </w:pPr>
            <w:r w:rsidRPr="00870E10">
              <w:rPr>
                <w:sz w:val="20"/>
                <w:szCs w:val="20"/>
              </w:rPr>
              <w:t>Issue 2: Identifying Underserved Segments</w:t>
            </w:r>
          </w:p>
        </w:tc>
        <w:tc>
          <w:tcPr>
            <w:tcW w:w="4319" w:type="dxa"/>
            <w:shd w:val="clear" w:color="auto" w:fill="FFFFFF" w:themeFill="background1"/>
          </w:tcPr>
          <w:p w14:paraId="3469E313" w14:textId="3EB77443" w:rsidR="000E1895" w:rsidRPr="00870E10" w:rsidRDefault="0014083D" w:rsidP="008534D6">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0E1895" w:rsidRPr="00870E10">
              <w:rPr>
                <w:sz w:val="20"/>
                <w:szCs w:val="20"/>
              </w:rPr>
              <w:t xml:space="preserve"> requires each utility’s energy efficiency plan and report (EEPR) to include a list of counties that were underserved in the prior year by the energy efficiency program.</w:t>
            </w:r>
          </w:p>
        </w:tc>
        <w:tc>
          <w:tcPr>
            <w:tcW w:w="3724" w:type="dxa"/>
            <w:shd w:val="clear" w:color="auto" w:fill="FFFFFF" w:themeFill="background1"/>
          </w:tcPr>
          <w:p w14:paraId="5D391FED" w14:textId="77777777" w:rsidR="000E1895" w:rsidRPr="00870E10" w:rsidRDefault="000E1895" w:rsidP="008534D6">
            <w:pPr>
              <w:cnfStyle w:val="000000100000" w:firstRow="0" w:lastRow="0" w:firstColumn="0" w:lastColumn="0" w:oddVBand="0" w:evenVBand="0" w:oddHBand="1" w:evenHBand="0" w:firstRowFirstColumn="0" w:firstRowLastColumn="0" w:lastRowFirstColumn="0" w:lastRowLastColumn="0"/>
              <w:rPr>
                <w:sz w:val="20"/>
                <w:szCs w:val="20"/>
              </w:rPr>
            </w:pPr>
            <w:r w:rsidRPr="00870E10">
              <w:rPr>
                <w:b/>
                <w:sz w:val="20"/>
                <w:szCs w:val="20"/>
              </w:rPr>
              <w:t xml:space="preserve">Low Priority: </w:t>
            </w:r>
            <w:r w:rsidRPr="00870E10">
              <w:rPr>
                <w:sz w:val="20"/>
                <w:szCs w:val="20"/>
              </w:rPr>
              <w:t>This issue seemed to overlap with defining underserved segments.</w:t>
            </w:r>
          </w:p>
        </w:tc>
      </w:tr>
      <w:tr w:rsidR="007E6674" w14:paraId="31E20126" w14:textId="77777777" w:rsidTr="007E6674">
        <w:trPr>
          <w:trHeight w:val="125"/>
        </w:trPr>
        <w:tc>
          <w:tcPr>
            <w:cnfStyle w:val="001000000000" w:firstRow="0" w:lastRow="0" w:firstColumn="1" w:lastColumn="0" w:oddVBand="0" w:evenVBand="0" w:oddHBand="0" w:evenHBand="0" w:firstRowFirstColumn="0" w:firstRowLastColumn="0" w:lastRowFirstColumn="0" w:lastRowLastColumn="0"/>
            <w:tcW w:w="2032" w:type="dxa"/>
            <w:shd w:val="clear" w:color="auto" w:fill="25408F"/>
          </w:tcPr>
          <w:p w14:paraId="5ACC8C89" w14:textId="49769936" w:rsidR="007E6674" w:rsidRPr="00870E10" w:rsidRDefault="007E6674" w:rsidP="007E6674">
            <w:pPr>
              <w:pStyle w:val="TT-TableHeading"/>
            </w:pPr>
            <w:r w:rsidRPr="00870E10">
              <w:t>Issue</w:t>
            </w:r>
          </w:p>
        </w:tc>
        <w:tc>
          <w:tcPr>
            <w:tcW w:w="4319" w:type="dxa"/>
            <w:shd w:val="clear" w:color="auto" w:fill="25408F"/>
          </w:tcPr>
          <w:p w14:paraId="74385894" w14:textId="65E09990" w:rsidR="007E6674"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870E10">
              <w:t>Summary</w:t>
            </w:r>
          </w:p>
        </w:tc>
        <w:tc>
          <w:tcPr>
            <w:tcW w:w="3724" w:type="dxa"/>
            <w:shd w:val="clear" w:color="auto" w:fill="25408F"/>
          </w:tcPr>
          <w:p w14:paraId="30AB2CCA" w14:textId="74700732" w:rsidR="007E6674" w:rsidRPr="00870E10"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870E10">
              <w:t>Working Group Priority and Why</w:t>
            </w:r>
          </w:p>
        </w:tc>
      </w:tr>
      <w:tr w:rsidR="000E1895" w14:paraId="5B0887B6" w14:textId="77777777" w:rsidTr="007E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tcPr>
          <w:p w14:paraId="28416961" w14:textId="77777777" w:rsidR="000E1895" w:rsidRPr="00870E10" w:rsidRDefault="000E1895" w:rsidP="008534D6">
            <w:pPr>
              <w:rPr>
                <w:sz w:val="20"/>
                <w:szCs w:val="20"/>
              </w:rPr>
            </w:pPr>
            <w:r w:rsidRPr="00870E10">
              <w:rPr>
                <w:sz w:val="20"/>
                <w:szCs w:val="20"/>
              </w:rPr>
              <w:t>Issue 3: Program Design</w:t>
            </w:r>
          </w:p>
        </w:tc>
        <w:tc>
          <w:tcPr>
            <w:tcW w:w="4319" w:type="dxa"/>
          </w:tcPr>
          <w:p w14:paraId="707471E5" w14:textId="77777777" w:rsidR="000E1895" w:rsidRPr="00870E10" w:rsidRDefault="000E1895" w:rsidP="008534D6">
            <w:pPr>
              <w:cnfStyle w:val="000000100000" w:firstRow="0" w:lastRow="0" w:firstColumn="0" w:lastColumn="0" w:oddVBand="0" w:evenVBand="0" w:oddHBand="1" w:evenHBand="0" w:firstRowFirstColumn="0" w:firstRowLastColumn="0" w:lastRowFirstColumn="0" w:lastRowLastColumn="0"/>
              <w:rPr>
                <w:sz w:val="20"/>
                <w:szCs w:val="20"/>
              </w:rPr>
            </w:pPr>
            <w:r w:rsidRPr="00870E10">
              <w:rPr>
                <w:sz w:val="20"/>
                <w:szCs w:val="20"/>
              </w:rPr>
              <w:t>Stakeholders agree a consistent method should be used to calculate the Avoided Retail Energy Value used in the SIR calculation to avoid confusion and timing issues with a fluctuating market.</w:t>
            </w:r>
          </w:p>
          <w:p w14:paraId="3E425F38" w14:textId="77777777" w:rsidR="000E1895" w:rsidRPr="00870E10" w:rsidRDefault="000E1895" w:rsidP="008534D6">
            <w:pPr>
              <w:cnfStyle w:val="000000100000" w:firstRow="0" w:lastRow="0" w:firstColumn="0" w:lastColumn="0" w:oddVBand="0" w:evenVBand="0" w:oddHBand="1" w:evenHBand="0" w:firstRowFirstColumn="0" w:firstRowLastColumn="0" w:lastRowFirstColumn="0" w:lastRowLastColumn="0"/>
              <w:rPr>
                <w:sz w:val="20"/>
                <w:szCs w:val="20"/>
              </w:rPr>
            </w:pPr>
          </w:p>
        </w:tc>
        <w:tc>
          <w:tcPr>
            <w:tcW w:w="3724" w:type="dxa"/>
          </w:tcPr>
          <w:p w14:paraId="134BB918" w14:textId="77777777" w:rsidR="000E1895" w:rsidRPr="00870E10" w:rsidRDefault="000E1895" w:rsidP="008534D6">
            <w:pPr>
              <w:cnfStyle w:val="000000100000" w:firstRow="0" w:lastRow="0" w:firstColumn="0" w:lastColumn="0" w:oddVBand="0" w:evenVBand="0" w:oddHBand="1" w:evenHBand="0" w:firstRowFirstColumn="0" w:firstRowLastColumn="0" w:lastRowFirstColumn="0" w:lastRowLastColumn="0"/>
              <w:rPr>
                <w:sz w:val="20"/>
                <w:szCs w:val="20"/>
              </w:rPr>
            </w:pPr>
            <w:r w:rsidRPr="00870E10">
              <w:rPr>
                <w:b/>
                <w:sz w:val="20"/>
                <w:szCs w:val="20"/>
              </w:rPr>
              <w:t>High Priority:</w:t>
            </w:r>
            <w:r w:rsidRPr="00870E10">
              <w:rPr>
                <w:sz w:val="20"/>
                <w:szCs w:val="20"/>
              </w:rPr>
              <w:t xml:space="preserve"> Stakeholders voiced that aligning the timing or discussing a consistent method to be used will help eliminate confusion and discrepancies in claimed vs. evaluated savings.</w:t>
            </w:r>
          </w:p>
        </w:tc>
      </w:tr>
      <w:tr w:rsidR="007E6674" w14:paraId="6C13EED7" w14:textId="77777777" w:rsidTr="007E6674">
        <w:tc>
          <w:tcPr>
            <w:cnfStyle w:val="001000000000" w:firstRow="0" w:lastRow="0" w:firstColumn="1" w:lastColumn="0" w:oddVBand="0" w:evenVBand="0" w:oddHBand="0" w:evenHBand="0" w:firstRowFirstColumn="0" w:firstRowLastColumn="0" w:lastRowFirstColumn="0" w:lastRowLastColumn="0"/>
            <w:tcW w:w="2032" w:type="dxa"/>
            <w:shd w:val="clear" w:color="auto" w:fill="25408F"/>
          </w:tcPr>
          <w:p w14:paraId="2BDBB2D3" w14:textId="567F6A66" w:rsidR="007E6674" w:rsidRPr="00870E10" w:rsidRDefault="007E6674" w:rsidP="007E6674">
            <w:pPr>
              <w:pStyle w:val="TT-TableHeading"/>
            </w:pPr>
            <w:r w:rsidRPr="00870E10">
              <w:t>Issue</w:t>
            </w:r>
          </w:p>
        </w:tc>
        <w:tc>
          <w:tcPr>
            <w:tcW w:w="4319" w:type="dxa"/>
            <w:shd w:val="clear" w:color="auto" w:fill="25408F"/>
          </w:tcPr>
          <w:p w14:paraId="26681156" w14:textId="7121AEEE" w:rsidR="007E6674" w:rsidRPr="00870E10"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870E10">
              <w:t>Summary</w:t>
            </w:r>
          </w:p>
        </w:tc>
        <w:tc>
          <w:tcPr>
            <w:tcW w:w="3724" w:type="dxa"/>
            <w:shd w:val="clear" w:color="auto" w:fill="25408F"/>
          </w:tcPr>
          <w:p w14:paraId="016DCB11" w14:textId="3440E589" w:rsidR="007E6674" w:rsidRPr="00870E10"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870E10">
              <w:t>Working Group Priority and Why</w:t>
            </w:r>
          </w:p>
        </w:tc>
      </w:tr>
      <w:tr w:rsidR="000E1895" w14:paraId="0E2A17B3" w14:textId="77777777" w:rsidTr="007E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shd w:val="clear" w:color="auto" w:fill="FFFFFF" w:themeFill="background1"/>
          </w:tcPr>
          <w:p w14:paraId="714B4195" w14:textId="77777777" w:rsidR="000E1895" w:rsidRPr="00870E10" w:rsidRDefault="000E1895" w:rsidP="008534D6">
            <w:pPr>
              <w:rPr>
                <w:sz w:val="20"/>
                <w:szCs w:val="20"/>
              </w:rPr>
            </w:pPr>
            <w:r w:rsidRPr="00870E10">
              <w:rPr>
                <w:sz w:val="20"/>
                <w:szCs w:val="20"/>
              </w:rPr>
              <w:t>Issue 4: Cost -Effectiveness Standard</w:t>
            </w:r>
          </w:p>
        </w:tc>
        <w:tc>
          <w:tcPr>
            <w:tcW w:w="4319" w:type="dxa"/>
            <w:shd w:val="clear" w:color="auto" w:fill="FFFFFF" w:themeFill="background1"/>
          </w:tcPr>
          <w:p w14:paraId="6F1FE39E" w14:textId="77777777" w:rsidR="000E1895" w:rsidRPr="00870E10" w:rsidRDefault="000E1895" w:rsidP="008534D6">
            <w:pPr>
              <w:cnfStyle w:val="000000100000" w:firstRow="0" w:lastRow="0" w:firstColumn="0" w:lastColumn="0" w:oddVBand="0" w:evenVBand="0" w:oddHBand="1" w:evenHBand="0" w:firstRowFirstColumn="0" w:firstRowLastColumn="0" w:lastRowFirstColumn="0" w:lastRowLastColumn="0"/>
              <w:rPr>
                <w:sz w:val="20"/>
                <w:szCs w:val="20"/>
              </w:rPr>
            </w:pPr>
            <w:r w:rsidRPr="00870E10">
              <w:rPr>
                <w:sz w:val="20"/>
                <w:szCs w:val="20"/>
              </w:rPr>
              <w:t>Since 2010, the cost-effectiveness standard, UCT, has evolved around avoided costs of capacity and avoided costs of energy for HTR programs. The SIR is used for Targeted Low-Income Programs. Cost-effectiveness is conducted at the program-level</w:t>
            </w:r>
          </w:p>
        </w:tc>
        <w:tc>
          <w:tcPr>
            <w:tcW w:w="3724" w:type="dxa"/>
            <w:shd w:val="clear" w:color="auto" w:fill="FFFFFF" w:themeFill="background1"/>
          </w:tcPr>
          <w:p w14:paraId="356C1338" w14:textId="77777777" w:rsidR="000E1895" w:rsidRPr="00870E10" w:rsidRDefault="000E1895" w:rsidP="008534D6">
            <w:pPr>
              <w:cnfStyle w:val="000000100000" w:firstRow="0" w:lastRow="0" w:firstColumn="0" w:lastColumn="0" w:oddVBand="0" w:evenVBand="0" w:oddHBand="1" w:evenHBand="0" w:firstRowFirstColumn="0" w:firstRowLastColumn="0" w:lastRowFirstColumn="0" w:lastRowLastColumn="0"/>
              <w:rPr>
                <w:sz w:val="20"/>
                <w:szCs w:val="20"/>
              </w:rPr>
            </w:pPr>
            <w:r w:rsidRPr="00870E10">
              <w:rPr>
                <w:b/>
                <w:sz w:val="20"/>
                <w:szCs w:val="20"/>
              </w:rPr>
              <w:t xml:space="preserve">High Priority: </w:t>
            </w:r>
            <w:r w:rsidRPr="00870E10">
              <w:rPr>
                <w:sz w:val="20"/>
                <w:szCs w:val="20"/>
              </w:rPr>
              <w:t>Stakeholders voiced that with rising baselines come rising costs. Discussing options to calculate cost-effectiveness will spur innovation and increase the reach of HTR, Underserved, and Low-Income Programs.</w:t>
            </w:r>
          </w:p>
        </w:tc>
      </w:tr>
    </w:tbl>
    <w:p w14:paraId="4BC8DAB8" w14:textId="737BAA12" w:rsidR="007E6674" w:rsidRPr="007E6674" w:rsidRDefault="000E1895" w:rsidP="007E6674">
      <w:pPr>
        <w:keepNext/>
        <w:keepLines/>
        <w:rPr>
          <w:sz w:val="20"/>
        </w:rPr>
      </w:pPr>
      <w:r w:rsidRPr="00870E10">
        <w:rPr>
          <w:sz w:val="20"/>
        </w:rPr>
        <w:t xml:space="preserve">For each identified key issue above, the following table summarizes areas of agreement, multiple perspectives expressed, and changes that could be needed. </w:t>
      </w:r>
    </w:p>
    <w:tbl>
      <w:tblPr>
        <w:tblStyle w:val="GridTable4-Accent5"/>
        <w:tblW w:w="1014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514"/>
        <w:gridCol w:w="2047"/>
        <w:gridCol w:w="3548"/>
        <w:gridCol w:w="1662"/>
        <w:gridCol w:w="1370"/>
      </w:tblGrid>
      <w:tr w:rsidR="007E6674" w14:paraId="2B577E48" w14:textId="77777777" w:rsidTr="007E6674">
        <w:trPr>
          <w:cnfStyle w:val="100000000000" w:firstRow="1" w:lastRow="0" w:firstColumn="0" w:lastColumn="0" w:oddVBand="0" w:evenVBand="0" w:oddHBand="0" w:evenHBand="0" w:firstRowFirstColumn="0" w:firstRowLastColumn="0" w:lastRowFirstColumn="0" w:lastRowLastColumn="0"/>
          <w:trHeight w:val="1325"/>
          <w:tblHeader/>
        </w:trPr>
        <w:tc>
          <w:tcPr>
            <w:cnfStyle w:val="001000000000" w:firstRow="0" w:lastRow="0" w:firstColumn="1" w:lastColumn="0" w:oddVBand="0" w:evenVBand="0" w:oddHBand="0" w:evenHBand="0" w:firstRowFirstColumn="0" w:firstRowLastColumn="0" w:lastRowFirstColumn="0" w:lastRowLastColumn="0"/>
            <w:tcW w:w="1514" w:type="dxa"/>
            <w:tcBorders>
              <w:top w:val="none" w:sz="0" w:space="0" w:color="auto"/>
              <w:left w:val="none" w:sz="0" w:space="0" w:color="auto"/>
              <w:bottom w:val="none" w:sz="0" w:space="0" w:color="auto"/>
              <w:right w:val="none" w:sz="0" w:space="0" w:color="auto"/>
            </w:tcBorders>
            <w:shd w:val="clear" w:color="auto" w:fill="25408F"/>
            <w:vAlign w:val="bottom"/>
          </w:tcPr>
          <w:p w14:paraId="12214919" w14:textId="71CB4D51" w:rsidR="007E6674" w:rsidRPr="00870E10" w:rsidRDefault="007E6674" w:rsidP="007E6674">
            <w:pPr>
              <w:pStyle w:val="TT-TableHeading"/>
              <w:keepNext/>
              <w:keepLines/>
              <w:rPr>
                <w:b w:val="0"/>
                <w:szCs w:val="20"/>
              </w:rPr>
            </w:pPr>
            <w:r w:rsidRPr="00CF0A51">
              <w:t>Key issue</w:t>
            </w:r>
          </w:p>
        </w:tc>
        <w:tc>
          <w:tcPr>
            <w:tcW w:w="2105" w:type="dxa"/>
            <w:tcBorders>
              <w:top w:val="none" w:sz="0" w:space="0" w:color="auto"/>
              <w:left w:val="none" w:sz="0" w:space="0" w:color="auto"/>
              <w:bottom w:val="none" w:sz="0" w:space="0" w:color="auto"/>
              <w:right w:val="none" w:sz="0" w:space="0" w:color="auto"/>
            </w:tcBorders>
            <w:shd w:val="clear" w:color="auto" w:fill="25408F"/>
            <w:vAlign w:val="bottom"/>
          </w:tcPr>
          <w:p w14:paraId="21FE0486" w14:textId="1116A811" w:rsidR="007E6674" w:rsidRPr="00870E10" w:rsidRDefault="007E6674" w:rsidP="007E6674">
            <w:pPr>
              <w:pStyle w:val="TT-TableHeading"/>
              <w:keepNext/>
              <w:keepLines/>
              <w:cnfStyle w:val="100000000000" w:firstRow="1" w:lastRow="0" w:firstColumn="0" w:lastColumn="0" w:oddVBand="0" w:evenVBand="0" w:oddHBand="0" w:evenHBand="0" w:firstRowFirstColumn="0" w:firstRowLastColumn="0" w:lastRowFirstColumn="0" w:lastRowLastColumn="0"/>
              <w:rPr>
                <w:b w:val="0"/>
                <w:szCs w:val="20"/>
              </w:rPr>
            </w:pPr>
            <w:r w:rsidRPr="00CF0A51">
              <w:t>Areas of agreement</w:t>
            </w:r>
          </w:p>
        </w:tc>
        <w:tc>
          <w:tcPr>
            <w:tcW w:w="3576" w:type="dxa"/>
            <w:tcBorders>
              <w:top w:val="none" w:sz="0" w:space="0" w:color="auto"/>
              <w:left w:val="none" w:sz="0" w:space="0" w:color="auto"/>
              <w:bottom w:val="none" w:sz="0" w:space="0" w:color="auto"/>
              <w:right w:val="none" w:sz="0" w:space="0" w:color="auto"/>
            </w:tcBorders>
            <w:shd w:val="clear" w:color="auto" w:fill="25408F"/>
            <w:vAlign w:val="bottom"/>
          </w:tcPr>
          <w:p w14:paraId="29004440" w14:textId="31C72D3A" w:rsidR="007E6674" w:rsidRPr="00870E10" w:rsidRDefault="007E6674" w:rsidP="007E6674">
            <w:pPr>
              <w:pStyle w:val="TT-TableHeading"/>
              <w:keepNext/>
              <w:keepLines/>
              <w:cnfStyle w:val="100000000000" w:firstRow="1" w:lastRow="0" w:firstColumn="0" w:lastColumn="0" w:oddVBand="0" w:evenVBand="0" w:oddHBand="0" w:evenHBand="0" w:firstRowFirstColumn="0" w:firstRowLastColumn="0" w:lastRowFirstColumn="0" w:lastRowLastColumn="0"/>
              <w:rPr>
                <w:b w:val="0"/>
                <w:szCs w:val="20"/>
              </w:rPr>
            </w:pPr>
            <w:r w:rsidRPr="00CF0A51">
              <w:t>Areas of debate</w:t>
            </w:r>
          </w:p>
        </w:tc>
        <w:tc>
          <w:tcPr>
            <w:tcW w:w="1547" w:type="dxa"/>
            <w:tcBorders>
              <w:top w:val="none" w:sz="0" w:space="0" w:color="auto"/>
              <w:left w:val="none" w:sz="0" w:space="0" w:color="auto"/>
              <w:bottom w:val="none" w:sz="0" w:space="0" w:color="auto"/>
              <w:right w:val="none" w:sz="0" w:space="0" w:color="auto"/>
            </w:tcBorders>
            <w:shd w:val="clear" w:color="auto" w:fill="25408F"/>
            <w:vAlign w:val="bottom"/>
          </w:tcPr>
          <w:p w14:paraId="0A470E3D" w14:textId="56E9AC89" w:rsidR="007E6674" w:rsidRPr="00870E10" w:rsidRDefault="007E6674" w:rsidP="007E6674">
            <w:pPr>
              <w:pStyle w:val="TT-TableHeading"/>
              <w:keepNext/>
              <w:keepLines/>
              <w:cnfStyle w:val="100000000000" w:firstRow="1" w:lastRow="0" w:firstColumn="0" w:lastColumn="0" w:oddVBand="0" w:evenVBand="0" w:oddHBand="0" w:evenHBand="0" w:firstRowFirstColumn="0" w:firstRowLastColumn="0" w:lastRowFirstColumn="0" w:lastRowLastColumn="0"/>
              <w:rPr>
                <w:b w:val="0"/>
                <w:szCs w:val="20"/>
              </w:rPr>
            </w:pPr>
            <w:r w:rsidRPr="00CF0A51">
              <w:t xml:space="preserve">Would this require legislation or rulemaking? If so, what? </w:t>
            </w:r>
          </w:p>
        </w:tc>
        <w:tc>
          <w:tcPr>
            <w:tcW w:w="1399" w:type="dxa"/>
            <w:tcBorders>
              <w:top w:val="none" w:sz="0" w:space="0" w:color="auto"/>
              <w:left w:val="none" w:sz="0" w:space="0" w:color="auto"/>
              <w:bottom w:val="none" w:sz="0" w:space="0" w:color="auto"/>
              <w:right w:val="none" w:sz="0" w:space="0" w:color="auto"/>
            </w:tcBorders>
            <w:shd w:val="clear" w:color="auto" w:fill="25408F"/>
            <w:vAlign w:val="bottom"/>
          </w:tcPr>
          <w:p w14:paraId="62F9FC78" w14:textId="7FBF9F9C" w:rsidR="007E6674" w:rsidRPr="00870E10" w:rsidRDefault="007E6674" w:rsidP="007E6674">
            <w:pPr>
              <w:pStyle w:val="TT-TableHeading"/>
              <w:keepNext/>
              <w:keepLines/>
              <w:cnfStyle w:val="100000000000" w:firstRow="1" w:lastRow="0" w:firstColumn="0" w:lastColumn="0" w:oddVBand="0" w:evenVBand="0" w:oddHBand="0" w:evenHBand="0" w:firstRowFirstColumn="0" w:firstRowLastColumn="0" w:lastRowFirstColumn="0" w:lastRowLastColumn="0"/>
              <w:rPr>
                <w:szCs w:val="20"/>
              </w:rPr>
            </w:pPr>
            <w:r w:rsidRPr="00CF0A51">
              <w:t>Could another process address?</w:t>
            </w:r>
          </w:p>
        </w:tc>
      </w:tr>
      <w:tr w:rsidR="000E1895" w14:paraId="14536795" w14:textId="77777777" w:rsidTr="007E6674">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514" w:type="dxa"/>
          </w:tcPr>
          <w:p w14:paraId="56945F34" w14:textId="77777777" w:rsidR="000E1895" w:rsidRPr="00870E10" w:rsidRDefault="000E1895" w:rsidP="007E6674">
            <w:pPr>
              <w:keepNext/>
              <w:keepLines/>
              <w:rPr>
                <w:sz w:val="20"/>
                <w:szCs w:val="20"/>
              </w:rPr>
            </w:pPr>
            <w:r w:rsidRPr="00870E10">
              <w:rPr>
                <w:sz w:val="20"/>
                <w:szCs w:val="20"/>
              </w:rPr>
              <w:t>Issue 1: Definition of Underserved Segments</w:t>
            </w:r>
          </w:p>
        </w:tc>
        <w:tc>
          <w:tcPr>
            <w:tcW w:w="2105" w:type="dxa"/>
          </w:tcPr>
          <w:p w14:paraId="15153FEF" w14:textId="77777777" w:rsidR="000E1895" w:rsidRPr="00870E10" w:rsidRDefault="000E1895"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870E10">
              <w:rPr>
                <w:sz w:val="20"/>
                <w:szCs w:val="20"/>
              </w:rPr>
              <w:t xml:space="preserve">Stakeholders agree expanding the definition of HTR and </w:t>
            </w:r>
            <w:r w:rsidRPr="00870E10">
              <w:rPr>
                <w:i/>
                <w:sz w:val="20"/>
                <w:szCs w:val="20"/>
              </w:rPr>
              <w:t>maybe</w:t>
            </w:r>
            <w:r w:rsidRPr="00870E10">
              <w:rPr>
                <w:sz w:val="20"/>
                <w:szCs w:val="20"/>
              </w:rPr>
              <w:t xml:space="preserve"> creating or combining the definition to include the underserved is appropriate as there are many customers on the “fringes” that the programs cannot help.</w:t>
            </w:r>
          </w:p>
        </w:tc>
        <w:tc>
          <w:tcPr>
            <w:tcW w:w="3576" w:type="dxa"/>
          </w:tcPr>
          <w:p w14:paraId="6B4278D5" w14:textId="77777777" w:rsidR="000E1895" w:rsidRPr="00870E10" w:rsidRDefault="000E1895"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870E10">
              <w:rPr>
                <w:sz w:val="20"/>
                <w:szCs w:val="20"/>
                <w:u w:val="single"/>
              </w:rPr>
              <w:t>Perspective 1:</w:t>
            </w:r>
            <w:r w:rsidRPr="00870E10">
              <w:rPr>
                <w:sz w:val="20"/>
                <w:szCs w:val="20"/>
              </w:rPr>
              <w:t xml:space="preserve"> If the definition changes (or is created), we must review the goals for serving underserved / HTR segments.</w:t>
            </w:r>
          </w:p>
          <w:p w14:paraId="730B4BBE" w14:textId="77777777" w:rsidR="000E1895" w:rsidRPr="00870E10" w:rsidRDefault="000E1895"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870E10">
              <w:rPr>
                <w:sz w:val="20"/>
                <w:szCs w:val="20"/>
                <w:u w:val="single"/>
              </w:rPr>
              <w:t xml:space="preserve">Perspective 2: </w:t>
            </w:r>
            <w:r w:rsidRPr="00870E10">
              <w:rPr>
                <w:sz w:val="20"/>
                <w:szCs w:val="20"/>
              </w:rPr>
              <w:t>Including a range in the definition may provide the flexibility the programs require to help those that need it most and may be on the “fringe.”</w:t>
            </w:r>
          </w:p>
          <w:p w14:paraId="40425BDA" w14:textId="77777777" w:rsidR="000E1895" w:rsidRPr="00870E10" w:rsidRDefault="000E1895"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870E10">
              <w:rPr>
                <w:sz w:val="20"/>
                <w:szCs w:val="20"/>
                <w:u w:val="single"/>
              </w:rPr>
              <w:t>Perspective 3:</w:t>
            </w:r>
            <w:r w:rsidRPr="00870E10">
              <w:rPr>
                <w:sz w:val="20"/>
                <w:szCs w:val="20"/>
              </w:rPr>
              <w:t xml:space="preserve"> Expanding the HTR definition to include moderate-income or underserved customers is important; however, we also need to understand how that may cannibalize the budget for truly low-income customers. (Concern that combining budgets will not be used across all sectors included in the definition)</w:t>
            </w:r>
          </w:p>
        </w:tc>
        <w:tc>
          <w:tcPr>
            <w:tcW w:w="1547" w:type="dxa"/>
          </w:tcPr>
          <w:p w14:paraId="12C90D01" w14:textId="714BACCF" w:rsidR="000E1895" w:rsidRPr="00870E10" w:rsidRDefault="000E1895"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870E10">
              <w:rPr>
                <w:sz w:val="20"/>
                <w:szCs w:val="20"/>
              </w:rPr>
              <w:t xml:space="preserve">Currently, there is no definition of “underserved”; there is only a definition for </w:t>
            </w:r>
            <w:r w:rsidR="004A570A">
              <w:rPr>
                <w:sz w:val="20"/>
                <w:szCs w:val="20"/>
              </w:rPr>
              <w:t>16 TAC §25.181</w:t>
            </w:r>
            <w:r w:rsidRPr="00870E10">
              <w:rPr>
                <w:sz w:val="20"/>
                <w:szCs w:val="20"/>
              </w:rPr>
              <w:t>(c)(27) HTR.</w:t>
            </w:r>
          </w:p>
          <w:p w14:paraId="4604A14D" w14:textId="77777777" w:rsidR="000E1895" w:rsidRPr="00870E10" w:rsidRDefault="000E1895"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p>
        </w:tc>
        <w:tc>
          <w:tcPr>
            <w:tcW w:w="1399" w:type="dxa"/>
          </w:tcPr>
          <w:p w14:paraId="3AACDAD1" w14:textId="77777777" w:rsidR="000E1895" w:rsidRPr="00870E10" w:rsidRDefault="000E1895"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p>
        </w:tc>
      </w:tr>
      <w:tr w:rsidR="007E6674" w14:paraId="71B307C6" w14:textId="77777777" w:rsidTr="007E6674">
        <w:trPr>
          <w:trHeight w:val="253"/>
        </w:trPr>
        <w:tc>
          <w:tcPr>
            <w:cnfStyle w:val="001000000000" w:firstRow="0" w:lastRow="0" w:firstColumn="1" w:lastColumn="0" w:oddVBand="0" w:evenVBand="0" w:oddHBand="0" w:evenHBand="0" w:firstRowFirstColumn="0" w:firstRowLastColumn="0" w:lastRowFirstColumn="0" w:lastRowLastColumn="0"/>
            <w:tcW w:w="1514" w:type="dxa"/>
            <w:shd w:val="clear" w:color="auto" w:fill="25408F"/>
            <w:vAlign w:val="bottom"/>
          </w:tcPr>
          <w:p w14:paraId="269DA298" w14:textId="43BB6E1C" w:rsidR="007E6674" w:rsidRPr="00870E10" w:rsidRDefault="007E6674" w:rsidP="007E6674">
            <w:pPr>
              <w:pStyle w:val="TT-TableHeading"/>
            </w:pPr>
            <w:r w:rsidRPr="00CF0A51">
              <w:t>Key issue</w:t>
            </w:r>
          </w:p>
        </w:tc>
        <w:tc>
          <w:tcPr>
            <w:tcW w:w="2105" w:type="dxa"/>
            <w:shd w:val="clear" w:color="auto" w:fill="25408F"/>
            <w:vAlign w:val="bottom"/>
          </w:tcPr>
          <w:p w14:paraId="08737A03" w14:textId="087BF414" w:rsidR="007E6674" w:rsidRPr="00870E10"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CF0A51">
              <w:t>Areas of agreement</w:t>
            </w:r>
          </w:p>
        </w:tc>
        <w:tc>
          <w:tcPr>
            <w:tcW w:w="3576" w:type="dxa"/>
            <w:shd w:val="clear" w:color="auto" w:fill="25408F"/>
            <w:vAlign w:val="bottom"/>
          </w:tcPr>
          <w:p w14:paraId="511C81EE" w14:textId="164F56D2" w:rsidR="007E6674" w:rsidRPr="00870E10" w:rsidRDefault="007E6674" w:rsidP="007E6674">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CF0A51">
              <w:t>Areas of debate</w:t>
            </w:r>
          </w:p>
        </w:tc>
        <w:tc>
          <w:tcPr>
            <w:tcW w:w="1547" w:type="dxa"/>
            <w:shd w:val="clear" w:color="auto" w:fill="25408F"/>
            <w:vAlign w:val="bottom"/>
          </w:tcPr>
          <w:p w14:paraId="4DB1742E" w14:textId="7CC26890" w:rsidR="007E6674" w:rsidRPr="00870E10"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CF0A51">
              <w:t xml:space="preserve">Would this require legislation or rulemaking? If so, what? </w:t>
            </w:r>
          </w:p>
        </w:tc>
        <w:tc>
          <w:tcPr>
            <w:tcW w:w="1399" w:type="dxa"/>
            <w:shd w:val="clear" w:color="auto" w:fill="25408F"/>
            <w:vAlign w:val="bottom"/>
          </w:tcPr>
          <w:p w14:paraId="2BC2F80E" w14:textId="493257F2" w:rsidR="007E6674" w:rsidRPr="00870E10" w:rsidRDefault="007E6674" w:rsidP="007E6674">
            <w:pPr>
              <w:pStyle w:val="TT-TableHeading"/>
              <w:cnfStyle w:val="000000000000" w:firstRow="0" w:lastRow="0" w:firstColumn="0" w:lastColumn="0" w:oddVBand="0" w:evenVBand="0" w:oddHBand="0" w:evenHBand="0" w:firstRowFirstColumn="0" w:firstRowLastColumn="0" w:lastRowFirstColumn="0" w:lastRowLastColumn="0"/>
            </w:pPr>
            <w:r w:rsidRPr="00CF0A51">
              <w:t>Could another process address?</w:t>
            </w:r>
          </w:p>
        </w:tc>
      </w:tr>
      <w:tr w:rsidR="000E1895" w14:paraId="085D75A4" w14:textId="77777777" w:rsidTr="007E6674">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514" w:type="dxa"/>
            <w:shd w:val="clear" w:color="auto" w:fill="auto"/>
          </w:tcPr>
          <w:p w14:paraId="5EB988EF" w14:textId="77777777" w:rsidR="000E1895" w:rsidRPr="00870E10" w:rsidRDefault="000E1895" w:rsidP="008534D6">
            <w:pPr>
              <w:rPr>
                <w:sz w:val="20"/>
                <w:szCs w:val="20"/>
              </w:rPr>
            </w:pPr>
            <w:r w:rsidRPr="00870E10">
              <w:rPr>
                <w:sz w:val="20"/>
                <w:szCs w:val="20"/>
              </w:rPr>
              <w:t>Issue 2: Identifying Underserved Segments</w:t>
            </w:r>
          </w:p>
        </w:tc>
        <w:tc>
          <w:tcPr>
            <w:tcW w:w="2105" w:type="dxa"/>
            <w:shd w:val="clear" w:color="auto" w:fill="auto"/>
          </w:tcPr>
          <w:p w14:paraId="0EC70F72" w14:textId="77777777" w:rsidR="000E1895" w:rsidRPr="00870E10" w:rsidRDefault="000E1895" w:rsidP="008534D6">
            <w:pPr>
              <w:cnfStyle w:val="000000100000" w:firstRow="0" w:lastRow="0" w:firstColumn="0" w:lastColumn="0" w:oddVBand="0" w:evenVBand="0" w:oddHBand="1" w:evenHBand="0" w:firstRowFirstColumn="0" w:firstRowLastColumn="0" w:lastRowFirstColumn="0" w:lastRowLastColumn="0"/>
              <w:rPr>
                <w:sz w:val="20"/>
                <w:szCs w:val="20"/>
              </w:rPr>
            </w:pPr>
            <w:r w:rsidRPr="00870E10">
              <w:rPr>
                <w:sz w:val="20"/>
                <w:szCs w:val="20"/>
              </w:rPr>
              <w:t>Stakeholders agree serving rural communities is a challenge and is often identified as “underserved.”</w:t>
            </w:r>
          </w:p>
          <w:p w14:paraId="05A83AFF" w14:textId="77777777" w:rsidR="000E1895" w:rsidRPr="00870E10" w:rsidRDefault="000E1895" w:rsidP="008534D6">
            <w:pPr>
              <w:cnfStyle w:val="000000100000" w:firstRow="0" w:lastRow="0" w:firstColumn="0" w:lastColumn="0" w:oddVBand="0" w:evenVBand="0" w:oddHBand="1" w:evenHBand="0" w:firstRowFirstColumn="0" w:firstRowLastColumn="0" w:lastRowFirstColumn="0" w:lastRowLastColumn="0"/>
              <w:rPr>
                <w:sz w:val="20"/>
                <w:szCs w:val="20"/>
              </w:rPr>
            </w:pPr>
          </w:p>
        </w:tc>
        <w:tc>
          <w:tcPr>
            <w:tcW w:w="3576" w:type="dxa"/>
            <w:shd w:val="clear" w:color="auto" w:fill="auto"/>
          </w:tcPr>
          <w:p w14:paraId="21EBED0E" w14:textId="77777777" w:rsidR="000E1895" w:rsidRPr="00870E10" w:rsidRDefault="000E1895" w:rsidP="008534D6">
            <w:pPr>
              <w:cnfStyle w:val="000000100000" w:firstRow="0" w:lastRow="0" w:firstColumn="0" w:lastColumn="0" w:oddVBand="0" w:evenVBand="0" w:oddHBand="1" w:evenHBand="0" w:firstRowFirstColumn="0" w:firstRowLastColumn="0" w:lastRowFirstColumn="0" w:lastRowLastColumn="0"/>
              <w:rPr>
                <w:sz w:val="20"/>
                <w:szCs w:val="20"/>
              </w:rPr>
            </w:pPr>
            <w:r w:rsidRPr="00870E10">
              <w:rPr>
                <w:sz w:val="20"/>
                <w:szCs w:val="20"/>
                <w:u w:val="single"/>
              </w:rPr>
              <w:t>Perspective 1:</w:t>
            </w:r>
            <w:r w:rsidRPr="00870E10">
              <w:rPr>
                <w:sz w:val="20"/>
                <w:szCs w:val="20"/>
              </w:rPr>
              <w:t xml:space="preserve"> Adding a definition may help provide “parameters” for what should be included in the EEPR. As programs mature, it is important, that we are tracking underserved customers/communities/segments.</w:t>
            </w:r>
          </w:p>
          <w:p w14:paraId="4698C49F" w14:textId="77777777" w:rsidR="000E1895" w:rsidRPr="00870E10" w:rsidRDefault="000E1895" w:rsidP="008534D6">
            <w:pPr>
              <w:cnfStyle w:val="000000100000" w:firstRow="0" w:lastRow="0" w:firstColumn="0" w:lastColumn="0" w:oddVBand="0" w:evenVBand="0" w:oddHBand="1" w:evenHBand="0" w:firstRowFirstColumn="0" w:firstRowLastColumn="0" w:lastRowFirstColumn="0" w:lastRowLastColumn="0"/>
              <w:rPr>
                <w:sz w:val="20"/>
                <w:szCs w:val="20"/>
              </w:rPr>
            </w:pPr>
            <w:r w:rsidRPr="00870E10">
              <w:rPr>
                <w:sz w:val="20"/>
                <w:szCs w:val="20"/>
                <w:u w:val="single"/>
              </w:rPr>
              <w:t xml:space="preserve">Perspective 3: </w:t>
            </w:r>
            <w:r w:rsidRPr="00870E10">
              <w:rPr>
                <w:sz w:val="20"/>
                <w:szCs w:val="20"/>
              </w:rPr>
              <w:t>Regarding serving rural communities – providing a travel stipend to motivate project sponsors to go to rural areas is something that is being explored.</w:t>
            </w:r>
          </w:p>
        </w:tc>
        <w:tc>
          <w:tcPr>
            <w:tcW w:w="1547" w:type="dxa"/>
            <w:shd w:val="clear" w:color="auto" w:fill="auto"/>
          </w:tcPr>
          <w:p w14:paraId="6DBBD768" w14:textId="0A4E1A17" w:rsidR="000E1895" w:rsidRPr="00870E10" w:rsidRDefault="004A570A" w:rsidP="008534D6">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0E1895" w:rsidRPr="00870E10">
              <w:rPr>
                <w:sz w:val="20"/>
                <w:szCs w:val="20"/>
              </w:rPr>
              <w:t>(l)EEPR Reporting</w:t>
            </w:r>
          </w:p>
          <w:p w14:paraId="2F5CFEFD" w14:textId="2043B102" w:rsidR="00491C06" w:rsidRPr="00870E10" w:rsidRDefault="004A570A">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0E1895" w:rsidRPr="00870E10">
              <w:rPr>
                <w:sz w:val="20"/>
                <w:szCs w:val="20"/>
              </w:rPr>
              <w:t>(f) Incentive Payments may be different for “areas that have historically be underserved”….</w:t>
            </w:r>
          </w:p>
          <w:p w14:paraId="03097DCB" w14:textId="77777777" w:rsidR="000E1895" w:rsidRPr="00870E10" w:rsidRDefault="000E1895" w:rsidP="008534D6">
            <w:pPr>
              <w:cnfStyle w:val="000000100000" w:firstRow="0" w:lastRow="0" w:firstColumn="0" w:lastColumn="0" w:oddVBand="0" w:evenVBand="0" w:oddHBand="1" w:evenHBand="0" w:firstRowFirstColumn="0" w:firstRowLastColumn="0" w:lastRowFirstColumn="0" w:lastRowLastColumn="0"/>
              <w:rPr>
                <w:sz w:val="20"/>
                <w:szCs w:val="20"/>
              </w:rPr>
            </w:pPr>
          </w:p>
        </w:tc>
        <w:tc>
          <w:tcPr>
            <w:tcW w:w="1399" w:type="dxa"/>
            <w:shd w:val="clear" w:color="auto" w:fill="auto"/>
          </w:tcPr>
          <w:p w14:paraId="1E2B90C4" w14:textId="77777777" w:rsidR="000E1895" w:rsidRPr="00870E10" w:rsidRDefault="000E1895" w:rsidP="008534D6">
            <w:pPr>
              <w:cnfStyle w:val="000000100000" w:firstRow="0" w:lastRow="0" w:firstColumn="0" w:lastColumn="0" w:oddVBand="0" w:evenVBand="0" w:oddHBand="1" w:evenHBand="0" w:firstRowFirstColumn="0" w:firstRowLastColumn="0" w:lastRowFirstColumn="0" w:lastRowLastColumn="0"/>
              <w:rPr>
                <w:sz w:val="20"/>
                <w:szCs w:val="20"/>
              </w:rPr>
            </w:pPr>
          </w:p>
        </w:tc>
      </w:tr>
      <w:tr w:rsidR="000E1895" w14:paraId="1943FCAF" w14:textId="77777777" w:rsidTr="007E6674">
        <w:trPr>
          <w:trHeight w:val="268"/>
        </w:trPr>
        <w:tc>
          <w:tcPr>
            <w:cnfStyle w:val="001000000000" w:firstRow="0" w:lastRow="0" w:firstColumn="1" w:lastColumn="0" w:oddVBand="0" w:evenVBand="0" w:oddHBand="0" w:evenHBand="0" w:firstRowFirstColumn="0" w:firstRowLastColumn="0" w:lastRowFirstColumn="0" w:lastRowLastColumn="0"/>
            <w:tcW w:w="1514" w:type="dxa"/>
            <w:shd w:val="clear" w:color="auto" w:fill="DAEEF3" w:themeFill="accent5" w:themeFillTint="33"/>
          </w:tcPr>
          <w:p w14:paraId="0476D52C" w14:textId="77777777" w:rsidR="000E1895" w:rsidRPr="00870E10" w:rsidRDefault="000E1895" w:rsidP="007E6674">
            <w:pPr>
              <w:keepNext/>
              <w:keepLines/>
              <w:rPr>
                <w:sz w:val="20"/>
                <w:szCs w:val="20"/>
              </w:rPr>
            </w:pPr>
            <w:r w:rsidRPr="00870E10">
              <w:rPr>
                <w:sz w:val="20"/>
                <w:szCs w:val="20"/>
              </w:rPr>
              <w:t>Issue 3: Program Design</w:t>
            </w:r>
            <w:r w:rsidRPr="00870E10" w:rsidDel="00CA153F">
              <w:rPr>
                <w:sz w:val="20"/>
                <w:szCs w:val="20"/>
              </w:rPr>
              <w:t xml:space="preserve"> </w:t>
            </w:r>
          </w:p>
        </w:tc>
        <w:tc>
          <w:tcPr>
            <w:tcW w:w="2105" w:type="dxa"/>
            <w:shd w:val="clear" w:color="auto" w:fill="DAEEF3" w:themeFill="accent5" w:themeFillTint="33"/>
          </w:tcPr>
          <w:p w14:paraId="5DDC9C20" w14:textId="77777777" w:rsidR="000E1895" w:rsidRPr="00870E10" w:rsidRDefault="000E1895"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870E10">
              <w:rPr>
                <w:sz w:val="20"/>
                <w:szCs w:val="20"/>
              </w:rPr>
              <w:t xml:space="preserve">Stakeholders agree to discuss the Avoided Retail energy value in Program Design. </w:t>
            </w:r>
          </w:p>
          <w:p w14:paraId="057EE75D" w14:textId="1A414E86" w:rsidR="000E1895" w:rsidRPr="00870E10" w:rsidRDefault="000E1895"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870E10">
              <w:rPr>
                <w:sz w:val="20"/>
                <w:szCs w:val="20"/>
              </w:rPr>
              <w:t xml:space="preserve">Stakeholders agree that a consistent method should be used to calculate Avoided Retail </w:t>
            </w:r>
            <w:r w:rsidR="00E37DD8">
              <w:rPr>
                <w:sz w:val="20"/>
                <w:szCs w:val="20"/>
              </w:rPr>
              <w:t>E</w:t>
            </w:r>
            <w:r w:rsidRPr="00870E10">
              <w:rPr>
                <w:sz w:val="20"/>
                <w:szCs w:val="20"/>
              </w:rPr>
              <w:t>nergy Value used in the SIR calculation to avoid confusion and timing issues with a fluctuating market.</w:t>
            </w:r>
          </w:p>
          <w:p w14:paraId="707E7DC6" w14:textId="77777777" w:rsidR="000E1895" w:rsidRPr="00870E10" w:rsidRDefault="000E1895"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p>
          <w:p w14:paraId="3FAC0E77" w14:textId="77777777" w:rsidR="000E1895" w:rsidRPr="00870E10" w:rsidRDefault="000E1895"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c>
          <w:tcPr>
            <w:tcW w:w="3576" w:type="dxa"/>
            <w:shd w:val="clear" w:color="auto" w:fill="DAEEF3" w:themeFill="accent5" w:themeFillTint="33"/>
          </w:tcPr>
          <w:p w14:paraId="46B3B6AF" w14:textId="77777777" w:rsidR="000E1895" w:rsidRPr="00870E10" w:rsidRDefault="000E1895"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870E10">
              <w:rPr>
                <w:sz w:val="20"/>
                <w:szCs w:val="20"/>
                <w:u w:val="single"/>
              </w:rPr>
              <w:t>Perspective 1:</w:t>
            </w:r>
            <w:r w:rsidRPr="00870E10">
              <w:rPr>
                <w:sz w:val="20"/>
                <w:szCs w:val="20"/>
              </w:rPr>
              <w:t xml:space="preserve"> Using public sources to inform the avoided retail energy value used in the SIR calculation may help, but the timing may still produce discrepancies.</w:t>
            </w:r>
          </w:p>
          <w:p w14:paraId="3F172700" w14:textId="77777777" w:rsidR="000E1895" w:rsidRPr="00870E10" w:rsidRDefault="000E1895"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870E10">
              <w:rPr>
                <w:sz w:val="20"/>
                <w:szCs w:val="20"/>
                <w:u w:val="single"/>
              </w:rPr>
              <w:t>Perspective 2:</w:t>
            </w:r>
            <w:r w:rsidRPr="00870E10">
              <w:rPr>
                <w:sz w:val="20"/>
                <w:szCs w:val="20"/>
              </w:rPr>
              <w:t xml:space="preserve"> Having a shared avoided retail energy value would provide value to eliminate confusion with claimed savings vs. evaluated savings.</w:t>
            </w:r>
          </w:p>
          <w:p w14:paraId="1003C96B" w14:textId="77777777" w:rsidR="000E1895" w:rsidRPr="00870E10" w:rsidRDefault="000E1895"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870E10">
              <w:rPr>
                <w:sz w:val="20"/>
                <w:szCs w:val="20"/>
                <w:u w:val="single"/>
              </w:rPr>
              <w:t>Perspective 3:</w:t>
            </w:r>
            <w:r w:rsidRPr="00870E10">
              <w:rPr>
                <w:sz w:val="20"/>
                <w:szCs w:val="20"/>
              </w:rPr>
              <w:t xml:space="preserve"> Documentation and the lack of standardization of documentation requirements across service territories is a burden. Figuring out how to streamline that to alleviate the distrust and burden.</w:t>
            </w:r>
          </w:p>
        </w:tc>
        <w:tc>
          <w:tcPr>
            <w:tcW w:w="1547" w:type="dxa"/>
            <w:shd w:val="clear" w:color="auto" w:fill="DAEEF3" w:themeFill="accent5" w:themeFillTint="33"/>
          </w:tcPr>
          <w:p w14:paraId="7C52DA85" w14:textId="22AF2672" w:rsidR="000E1895" w:rsidRPr="00870E10" w:rsidRDefault="004A570A"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0E1895" w:rsidRPr="00870E10">
              <w:rPr>
                <w:sz w:val="20"/>
                <w:szCs w:val="20"/>
              </w:rPr>
              <w:t>(c)(50) SIR Definition</w:t>
            </w:r>
          </w:p>
          <w:p w14:paraId="465F0C2A" w14:textId="233706FC" w:rsidR="000E1895" w:rsidRPr="00870E10" w:rsidRDefault="004A570A"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0E1895" w:rsidRPr="00870E10">
              <w:rPr>
                <w:sz w:val="20"/>
                <w:szCs w:val="20"/>
              </w:rPr>
              <w:t xml:space="preserve">(p)(2) Targeted Low-Income EE Program </w:t>
            </w:r>
          </w:p>
          <w:p w14:paraId="2AF67720" w14:textId="4FB7AB94" w:rsidR="000E1895" w:rsidRPr="00870E10" w:rsidRDefault="004A570A"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0E1895" w:rsidRPr="00870E10">
              <w:rPr>
                <w:sz w:val="20"/>
                <w:szCs w:val="20"/>
              </w:rPr>
              <w:t>(f) Incentive Payments may be different for “areas that have historically be underserved by the utilities EE programs or for other appropriate reasons.”</w:t>
            </w:r>
          </w:p>
          <w:p w14:paraId="4C44C15E" w14:textId="77777777" w:rsidR="000E1895" w:rsidRPr="00870E10" w:rsidRDefault="000E1895"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c>
          <w:tcPr>
            <w:tcW w:w="1399" w:type="dxa"/>
            <w:shd w:val="clear" w:color="auto" w:fill="DAEEF3" w:themeFill="accent5" w:themeFillTint="33"/>
          </w:tcPr>
          <w:p w14:paraId="04BB1C94" w14:textId="77777777" w:rsidR="000E1895" w:rsidRPr="00870E10" w:rsidRDefault="000E1895"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r>
      <w:tr w:rsidR="007E6674" w14:paraId="0B177DBA" w14:textId="77777777" w:rsidTr="007E6674">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514" w:type="dxa"/>
            <w:shd w:val="clear" w:color="auto" w:fill="25408F"/>
            <w:vAlign w:val="bottom"/>
          </w:tcPr>
          <w:p w14:paraId="3E84BB47" w14:textId="48B052ED" w:rsidR="007E6674" w:rsidRPr="00870E10" w:rsidRDefault="007E6674" w:rsidP="007E6674">
            <w:pPr>
              <w:pStyle w:val="TT-TableHeading"/>
            </w:pPr>
            <w:r w:rsidRPr="00CF0A51">
              <w:t>Key issue</w:t>
            </w:r>
          </w:p>
        </w:tc>
        <w:tc>
          <w:tcPr>
            <w:tcW w:w="2105" w:type="dxa"/>
            <w:shd w:val="clear" w:color="auto" w:fill="25408F"/>
            <w:vAlign w:val="bottom"/>
          </w:tcPr>
          <w:p w14:paraId="0511630C" w14:textId="2F6A1E7F" w:rsidR="007E6674" w:rsidRPr="00870E10" w:rsidRDefault="007E6674" w:rsidP="007E6674">
            <w:pPr>
              <w:pStyle w:val="TT-TableHeading"/>
              <w:cnfStyle w:val="000000100000" w:firstRow="0" w:lastRow="0" w:firstColumn="0" w:lastColumn="0" w:oddVBand="0" w:evenVBand="0" w:oddHBand="1" w:evenHBand="0" w:firstRowFirstColumn="0" w:firstRowLastColumn="0" w:lastRowFirstColumn="0" w:lastRowLastColumn="0"/>
            </w:pPr>
            <w:r w:rsidRPr="00CF0A51">
              <w:t>Areas of agreement</w:t>
            </w:r>
          </w:p>
        </w:tc>
        <w:tc>
          <w:tcPr>
            <w:tcW w:w="3576" w:type="dxa"/>
            <w:shd w:val="clear" w:color="auto" w:fill="25408F"/>
            <w:vAlign w:val="bottom"/>
          </w:tcPr>
          <w:p w14:paraId="07116515" w14:textId="1520C428" w:rsidR="007E6674" w:rsidRPr="00870E10" w:rsidRDefault="007E6674" w:rsidP="007E6674">
            <w:pPr>
              <w:pStyle w:val="TT-TableHeading"/>
              <w:cnfStyle w:val="000000100000" w:firstRow="0" w:lastRow="0" w:firstColumn="0" w:lastColumn="0" w:oddVBand="0" w:evenVBand="0" w:oddHBand="1" w:evenHBand="0" w:firstRowFirstColumn="0" w:firstRowLastColumn="0" w:lastRowFirstColumn="0" w:lastRowLastColumn="0"/>
              <w:rPr>
                <w:u w:val="single"/>
              </w:rPr>
            </w:pPr>
            <w:r w:rsidRPr="00CF0A51">
              <w:t>Areas of debate</w:t>
            </w:r>
          </w:p>
        </w:tc>
        <w:tc>
          <w:tcPr>
            <w:tcW w:w="1547" w:type="dxa"/>
            <w:shd w:val="clear" w:color="auto" w:fill="25408F"/>
            <w:vAlign w:val="bottom"/>
          </w:tcPr>
          <w:p w14:paraId="415F8011" w14:textId="2511FA17" w:rsidR="007E6674" w:rsidRDefault="007E6674" w:rsidP="007E6674">
            <w:pPr>
              <w:pStyle w:val="TT-TableHeading"/>
              <w:cnfStyle w:val="000000100000" w:firstRow="0" w:lastRow="0" w:firstColumn="0" w:lastColumn="0" w:oddVBand="0" w:evenVBand="0" w:oddHBand="1" w:evenHBand="0" w:firstRowFirstColumn="0" w:firstRowLastColumn="0" w:lastRowFirstColumn="0" w:lastRowLastColumn="0"/>
            </w:pPr>
            <w:r w:rsidRPr="00CF0A51">
              <w:t xml:space="preserve">Would this require legislation or rulemaking? If so, what? </w:t>
            </w:r>
          </w:p>
        </w:tc>
        <w:tc>
          <w:tcPr>
            <w:tcW w:w="1399" w:type="dxa"/>
            <w:shd w:val="clear" w:color="auto" w:fill="25408F"/>
            <w:vAlign w:val="bottom"/>
          </w:tcPr>
          <w:p w14:paraId="07C0D0D0" w14:textId="3DB409BD" w:rsidR="007E6674" w:rsidRPr="00870E10" w:rsidRDefault="007E6674" w:rsidP="007E6674">
            <w:pPr>
              <w:pStyle w:val="TT-TableHeading"/>
              <w:cnfStyle w:val="000000100000" w:firstRow="0" w:lastRow="0" w:firstColumn="0" w:lastColumn="0" w:oddVBand="0" w:evenVBand="0" w:oddHBand="1" w:evenHBand="0" w:firstRowFirstColumn="0" w:firstRowLastColumn="0" w:lastRowFirstColumn="0" w:lastRowLastColumn="0"/>
            </w:pPr>
            <w:r w:rsidRPr="00CF0A51">
              <w:t>Could another process address?</w:t>
            </w:r>
          </w:p>
        </w:tc>
      </w:tr>
      <w:tr w:rsidR="000E1895" w14:paraId="21E9D38C" w14:textId="77777777" w:rsidTr="007E6674">
        <w:trPr>
          <w:trHeight w:val="268"/>
        </w:trPr>
        <w:tc>
          <w:tcPr>
            <w:cnfStyle w:val="001000000000" w:firstRow="0" w:lastRow="0" w:firstColumn="1" w:lastColumn="0" w:oddVBand="0" w:evenVBand="0" w:oddHBand="0" w:evenHBand="0" w:firstRowFirstColumn="0" w:firstRowLastColumn="0" w:lastRowFirstColumn="0" w:lastRowLastColumn="0"/>
            <w:tcW w:w="1514" w:type="dxa"/>
            <w:shd w:val="clear" w:color="auto" w:fill="auto"/>
          </w:tcPr>
          <w:p w14:paraId="604191C6" w14:textId="242D0B5F" w:rsidR="000E1895" w:rsidRPr="00870E10" w:rsidRDefault="000E1895" w:rsidP="008534D6">
            <w:pPr>
              <w:rPr>
                <w:sz w:val="20"/>
                <w:szCs w:val="20"/>
              </w:rPr>
            </w:pPr>
            <w:r w:rsidRPr="00870E10">
              <w:rPr>
                <w:sz w:val="20"/>
                <w:szCs w:val="20"/>
              </w:rPr>
              <w:t>Issue 4: Cost Effectiveness Standard</w:t>
            </w:r>
          </w:p>
        </w:tc>
        <w:tc>
          <w:tcPr>
            <w:tcW w:w="2105" w:type="dxa"/>
            <w:shd w:val="clear" w:color="auto" w:fill="auto"/>
          </w:tcPr>
          <w:p w14:paraId="4E824EB7" w14:textId="77777777" w:rsidR="000E1895" w:rsidRPr="00870E10" w:rsidRDefault="000E1895" w:rsidP="008534D6">
            <w:pPr>
              <w:cnfStyle w:val="000000000000" w:firstRow="0" w:lastRow="0" w:firstColumn="0" w:lastColumn="0" w:oddVBand="0" w:evenVBand="0" w:oddHBand="0" w:evenHBand="0" w:firstRowFirstColumn="0" w:firstRowLastColumn="0" w:lastRowFirstColumn="0" w:lastRowLastColumn="0"/>
              <w:rPr>
                <w:sz w:val="20"/>
                <w:szCs w:val="20"/>
              </w:rPr>
            </w:pPr>
            <w:r w:rsidRPr="00870E10">
              <w:rPr>
                <w:sz w:val="20"/>
                <w:szCs w:val="20"/>
              </w:rPr>
              <w:t>General agreement that the UCT at the program level provides less flexibility regarding measures for underserved segments.</w:t>
            </w:r>
          </w:p>
        </w:tc>
        <w:tc>
          <w:tcPr>
            <w:tcW w:w="3576" w:type="dxa"/>
            <w:shd w:val="clear" w:color="auto" w:fill="auto"/>
          </w:tcPr>
          <w:p w14:paraId="7812B0FF" w14:textId="77777777" w:rsidR="000E1895" w:rsidRPr="00870E10" w:rsidRDefault="000E1895" w:rsidP="008534D6">
            <w:pPr>
              <w:cnfStyle w:val="000000000000" w:firstRow="0" w:lastRow="0" w:firstColumn="0" w:lastColumn="0" w:oddVBand="0" w:evenVBand="0" w:oddHBand="0" w:evenHBand="0" w:firstRowFirstColumn="0" w:firstRowLastColumn="0" w:lastRowFirstColumn="0" w:lastRowLastColumn="0"/>
              <w:rPr>
                <w:sz w:val="20"/>
                <w:szCs w:val="20"/>
              </w:rPr>
            </w:pPr>
            <w:r w:rsidRPr="00870E10">
              <w:rPr>
                <w:sz w:val="20"/>
                <w:szCs w:val="20"/>
                <w:u w:val="single"/>
              </w:rPr>
              <w:t>Perspective 1:</w:t>
            </w:r>
            <w:r w:rsidRPr="00870E10">
              <w:rPr>
                <w:sz w:val="20"/>
                <w:szCs w:val="20"/>
              </w:rPr>
              <w:t xml:space="preserve"> HTR/Low-Income/Underserved communities, often the burden is getting the home/business to a health and safety standard baseline so home/building can “accept” an energy efficiency intervention. It is hard to help these customers due to the current design and cost-effectiveness requirements. </w:t>
            </w:r>
          </w:p>
          <w:p w14:paraId="78F1FD3A" w14:textId="77777777" w:rsidR="000E1895" w:rsidRPr="00870E10" w:rsidRDefault="000E1895" w:rsidP="008534D6">
            <w:pPr>
              <w:cnfStyle w:val="000000000000" w:firstRow="0" w:lastRow="0" w:firstColumn="0" w:lastColumn="0" w:oddVBand="0" w:evenVBand="0" w:oddHBand="0" w:evenHBand="0" w:firstRowFirstColumn="0" w:firstRowLastColumn="0" w:lastRowFirstColumn="0" w:lastRowLastColumn="0"/>
              <w:rPr>
                <w:sz w:val="20"/>
                <w:szCs w:val="20"/>
              </w:rPr>
            </w:pPr>
            <w:r w:rsidRPr="00870E10">
              <w:rPr>
                <w:sz w:val="20"/>
                <w:szCs w:val="20"/>
                <w:u w:val="single"/>
              </w:rPr>
              <w:t>Perspective 2:</w:t>
            </w:r>
            <w:r w:rsidRPr="00870E10">
              <w:rPr>
                <w:sz w:val="20"/>
                <w:szCs w:val="20"/>
              </w:rPr>
              <w:t xml:space="preserve"> Perhaps adding a benefit or value for reducing energy burden to those in the most vulnerable populations for these programs.</w:t>
            </w:r>
          </w:p>
          <w:p w14:paraId="099FFFA8" w14:textId="77777777" w:rsidR="000E1895" w:rsidRPr="00870E10" w:rsidDel="00CC76A1" w:rsidRDefault="000E1895" w:rsidP="008534D6">
            <w:pPr>
              <w:cnfStyle w:val="000000000000" w:firstRow="0" w:lastRow="0" w:firstColumn="0" w:lastColumn="0" w:oddVBand="0" w:evenVBand="0" w:oddHBand="0" w:evenHBand="0" w:firstRowFirstColumn="0" w:firstRowLastColumn="0" w:lastRowFirstColumn="0" w:lastRowLastColumn="0"/>
              <w:rPr>
                <w:sz w:val="20"/>
                <w:szCs w:val="20"/>
              </w:rPr>
            </w:pPr>
            <w:r w:rsidRPr="00870E10">
              <w:rPr>
                <w:sz w:val="20"/>
                <w:szCs w:val="20"/>
                <w:u w:val="single"/>
              </w:rPr>
              <w:t>Perspective 3:</w:t>
            </w:r>
            <w:r w:rsidRPr="00870E10">
              <w:rPr>
                <w:sz w:val="20"/>
                <w:szCs w:val="20"/>
              </w:rPr>
              <w:t xml:space="preserve"> Are we appropriately valuing peak reduction related to the low-income housing stock – appropriate valuing EE?</w:t>
            </w:r>
          </w:p>
        </w:tc>
        <w:tc>
          <w:tcPr>
            <w:tcW w:w="1547" w:type="dxa"/>
            <w:shd w:val="clear" w:color="auto" w:fill="auto"/>
          </w:tcPr>
          <w:p w14:paraId="5A1F8EBF" w14:textId="0AFCED6C" w:rsidR="000E1895" w:rsidRPr="00870E10" w:rsidDel="00CC76A1" w:rsidRDefault="004A570A" w:rsidP="008534D6">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0E1895" w:rsidRPr="00870E10">
              <w:rPr>
                <w:sz w:val="20"/>
                <w:szCs w:val="20"/>
              </w:rPr>
              <w:t>(d) Cost-effectiveness standard</w:t>
            </w:r>
          </w:p>
        </w:tc>
        <w:tc>
          <w:tcPr>
            <w:tcW w:w="1399" w:type="dxa"/>
            <w:shd w:val="clear" w:color="auto" w:fill="auto"/>
          </w:tcPr>
          <w:p w14:paraId="07B41081" w14:textId="77777777" w:rsidR="000E1895" w:rsidRPr="00870E10" w:rsidDel="00CC76A1" w:rsidRDefault="000E1895" w:rsidP="008534D6">
            <w:pPr>
              <w:cnfStyle w:val="000000000000" w:firstRow="0" w:lastRow="0" w:firstColumn="0" w:lastColumn="0" w:oddVBand="0" w:evenVBand="0" w:oddHBand="0" w:evenHBand="0" w:firstRowFirstColumn="0" w:firstRowLastColumn="0" w:lastRowFirstColumn="0" w:lastRowLastColumn="0"/>
              <w:rPr>
                <w:sz w:val="20"/>
                <w:szCs w:val="20"/>
              </w:rPr>
            </w:pPr>
          </w:p>
        </w:tc>
      </w:tr>
    </w:tbl>
    <w:p w14:paraId="702559C7" w14:textId="6FBB1314" w:rsidR="0041452F" w:rsidRPr="0041452F" w:rsidRDefault="005243FE" w:rsidP="007E6674">
      <w:pPr>
        <w:keepNext/>
        <w:keepLines/>
        <w:rPr>
          <w:b/>
          <w:bCs/>
        </w:rPr>
      </w:pPr>
      <w:r w:rsidRPr="00C24A96">
        <w:rPr>
          <w:b/>
          <w:bCs/>
          <w:sz w:val="24"/>
          <w:szCs w:val="24"/>
        </w:rPr>
        <w:t>Session 3 February 21, 2023</w:t>
      </w:r>
      <w:r w:rsidR="0041452F">
        <w:rPr>
          <w:b/>
          <w:bCs/>
          <w:sz w:val="24"/>
          <w:szCs w:val="24"/>
        </w:rPr>
        <w:t>:</w:t>
      </w:r>
      <w:r w:rsidR="00566E33">
        <w:rPr>
          <w:b/>
          <w:bCs/>
          <w:sz w:val="24"/>
          <w:szCs w:val="24"/>
        </w:rPr>
        <w:t xml:space="preserve"> </w:t>
      </w:r>
      <w:r w:rsidR="0048312E" w:rsidRPr="0048312E">
        <w:rPr>
          <w:b/>
          <w:bCs/>
          <w:sz w:val="24"/>
          <w:szCs w:val="24"/>
        </w:rPr>
        <w:t>Cross-collaboration of funding sources discussion</w:t>
      </w:r>
      <w:r w:rsidR="0041452F">
        <w:rPr>
          <w:b/>
          <w:bCs/>
          <w:sz w:val="24"/>
          <w:szCs w:val="24"/>
        </w:rPr>
        <w:t xml:space="preserve"> </w:t>
      </w:r>
    </w:p>
    <w:p w14:paraId="128FA4F1" w14:textId="33886542" w:rsidR="003F30AA" w:rsidRPr="00C24A96" w:rsidRDefault="003F30AA" w:rsidP="003F30AA">
      <w:r w:rsidRPr="00C24A96">
        <w:t>The table below summarizes the key issues identified and places a priority/level of effort for addressing the issue in a rulemaking</w:t>
      </w:r>
      <w:r w:rsidR="0041452F">
        <w:t xml:space="preserve"> and/or legislative change</w:t>
      </w:r>
      <w:r w:rsidRPr="00C24A96">
        <w:t>.</w:t>
      </w:r>
      <w:r w:rsidR="007E6674">
        <w:br/>
      </w:r>
    </w:p>
    <w:tbl>
      <w:tblPr>
        <w:tblStyle w:val="GridTable4-Accent5"/>
        <w:tblW w:w="100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032"/>
        <w:gridCol w:w="4319"/>
        <w:gridCol w:w="3724"/>
      </w:tblGrid>
      <w:tr w:rsidR="003F30AA" w14:paraId="7A73B277" w14:textId="77777777" w:rsidTr="007E66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tcBorders>
              <w:top w:val="none" w:sz="0" w:space="0" w:color="auto"/>
              <w:left w:val="none" w:sz="0" w:space="0" w:color="auto"/>
              <w:bottom w:val="none" w:sz="0" w:space="0" w:color="auto"/>
              <w:right w:val="none" w:sz="0" w:space="0" w:color="auto"/>
            </w:tcBorders>
            <w:shd w:val="clear" w:color="auto" w:fill="25408F"/>
          </w:tcPr>
          <w:p w14:paraId="2BB778E2" w14:textId="77777777" w:rsidR="003F30AA" w:rsidRPr="00C24A96" w:rsidRDefault="003F30AA" w:rsidP="007E6674">
            <w:pPr>
              <w:pStyle w:val="TT-TableHeading"/>
              <w:rPr>
                <w:bCs/>
              </w:rPr>
            </w:pPr>
            <w:r w:rsidRPr="00C24A96">
              <w:t>Issue</w:t>
            </w:r>
          </w:p>
        </w:tc>
        <w:tc>
          <w:tcPr>
            <w:tcW w:w="4319" w:type="dxa"/>
            <w:tcBorders>
              <w:top w:val="none" w:sz="0" w:space="0" w:color="auto"/>
              <w:left w:val="none" w:sz="0" w:space="0" w:color="auto"/>
              <w:bottom w:val="none" w:sz="0" w:space="0" w:color="auto"/>
              <w:right w:val="none" w:sz="0" w:space="0" w:color="auto"/>
            </w:tcBorders>
            <w:shd w:val="clear" w:color="auto" w:fill="25408F"/>
          </w:tcPr>
          <w:p w14:paraId="38A54CF2" w14:textId="77777777" w:rsidR="003F30AA" w:rsidRPr="00C24A96" w:rsidRDefault="003F30AA" w:rsidP="007E6674">
            <w:pPr>
              <w:pStyle w:val="TT-TableHeading"/>
              <w:cnfStyle w:val="100000000000" w:firstRow="1" w:lastRow="0" w:firstColumn="0" w:lastColumn="0" w:oddVBand="0" w:evenVBand="0" w:oddHBand="0" w:evenHBand="0" w:firstRowFirstColumn="0" w:firstRowLastColumn="0" w:lastRowFirstColumn="0" w:lastRowLastColumn="0"/>
              <w:rPr>
                <w:bCs/>
              </w:rPr>
            </w:pPr>
            <w:r w:rsidRPr="00C24A96">
              <w:t>Summary</w:t>
            </w:r>
          </w:p>
        </w:tc>
        <w:tc>
          <w:tcPr>
            <w:tcW w:w="3724" w:type="dxa"/>
            <w:tcBorders>
              <w:top w:val="none" w:sz="0" w:space="0" w:color="auto"/>
              <w:left w:val="none" w:sz="0" w:space="0" w:color="auto"/>
              <w:bottom w:val="none" w:sz="0" w:space="0" w:color="auto"/>
              <w:right w:val="none" w:sz="0" w:space="0" w:color="auto"/>
            </w:tcBorders>
            <w:shd w:val="clear" w:color="auto" w:fill="25408F"/>
          </w:tcPr>
          <w:p w14:paraId="3885A765" w14:textId="0C8E8365" w:rsidR="003F30AA" w:rsidRPr="00C24A96" w:rsidRDefault="003F30AA" w:rsidP="007E6674">
            <w:pPr>
              <w:pStyle w:val="TT-TableHeading"/>
              <w:cnfStyle w:val="100000000000" w:firstRow="1" w:lastRow="0" w:firstColumn="0" w:lastColumn="0" w:oddVBand="0" w:evenVBand="0" w:oddHBand="0" w:evenHBand="0" w:firstRowFirstColumn="0" w:firstRowLastColumn="0" w:lastRowFirstColumn="0" w:lastRowLastColumn="0"/>
              <w:rPr>
                <w:bCs/>
              </w:rPr>
            </w:pPr>
            <w:r w:rsidRPr="00C24A96">
              <w:t xml:space="preserve">Working Group </w:t>
            </w:r>
            <w:r w:rsidR="007E6674" w:rsidRPr="00C24A96">
              <w:t>priority and why</w:t>
            </w:r>
          </w:p>
        </w:tc>
      </w:tr>
      <w:tr w:rsidR="003F30AA" w14:paraId="5DE2A09A" w14:textId="77777777" w:rsidTr="007E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tcPr>
          <w:p w14:paraId="43928B32" w14:textId="77777777" w:rsidR="003F30AA" w:rsidRPr="00C24A96" w:rsidRDefault="003F30AA">
            <w:pPr>
              <w:rPr>
                <w:sz w:val="20"/>
                <w:szCs w:val="20"/>
              </w:rPr>
            </w:pPr>
            <w:r w:rsidRPr="00C24A96">
              <w:rPr>
                <w:sz w:val="20"/>
                <w:szCs w:val="20"/>
              </w:rPr>
              <w:t>Issue 1: Identification of other funding Sources</w:t>
            </w:r>
          </w:p>
        </w:tc>
        <w:tc>
          <w:tcPr>
            <w:tcW w:w="4319" w:type="dxa"/>
          </w:tcPr>
          <w:p w14:paraId="67F2E2B1" w14:textId="77777777" w:rsidR="003F30AA" w:rsidRPr="00C24A96" w:rsidRDefault="003F30AA">
            <w:pPr>
              <w:cnfStyle w:val="000000100000" w:firstRow="0" w:lastRow="0" w:firstColumn="0" w:lastColumn="0" w:oddVBand="0" w:evenVBand="0" w:oddHBand="1" w:evenHBand="0" w:firstRowFirstColumn="0" w:firstRowLastColumn="0" w:lastRowFirstColumn="0" w:lastRowLastColumn="0"/>
              <w:rPr>
                <w:sz w:val="20"/>
                <w:szCs w:val="20"/>
              </w:rPr>
            </w:pPr>
            <w:r w:rsidRPr="00C24A96">
              <w:rPr>
                <w:sz w:val="20"/>
                <w:szCs w:val="20"/>
              </w:rPr>
              <w:t xml:space="preserve">Section 39.911 regards the State Energy Conservation Office (SECO) to solicit gifts, grants, and other financial resources available to fund energy efficiency improvements and renewable energy systems for public and private facilities in the state.  </w:t>
            </w:r>
          </w:p>
        </w:tc>
        <w:tc>
          <w:tcPr>
            <w:tcW w:w="3724" w:type="dxa"/>
          </w:tcPr>
          <w:p w14:paraId="6BEF7EDC" w14:textId="77777777" w:rsidR="003F30AA" w:rsidRPr="00C24A96" w:rsidRDefault="003F30AA">
            <w:pPr>
              <w:cnfStyle w:val="000000100000" w:firstRow="0" w:lastRow="0" w:firstColumn="0" w:lastColumn="0" w:oddVBand="0" w:evenVBand="0" w:oddHBand="1" w:evenHBand="0" w:firstRowFirstColumn="0" w:firstRowLastColumn="0" w:lastRowFirstColumn="0" w:lastRowLastColumn="0"/>
              <w:rPr>
                <w:sz w:val="20"/>
                <w:szCs w:val="20"/>
              </w:rPr>
            </w:pPr>
            <w:r w:rsidRPr="00C24A96">
              <w:rPr>
                <w:b/>
                <w:bCs/>
                <w:sz w:val="20"/>
                <w:szCs w:val="20"/>
              </w:rPr>
              <w:t>Low Priority:</w:t>
            </w:r>
            <w:r w:rsidRPr="00C24A96">
              <w:rPr>
                <w:sz w:val="20"/>
                <w:szCs w:val="20"/>
              </w:rPr>
              <w:t xml:space="preserve"> The group identified the importance of leveraging funds through other sources. No rule change would be required, just cross-collaboration between organizations.</w:t>
            </w:r>
          </w:p>
        </w:tc>
      </w:tr>
      <w:tr w:rsidR="003F30AA" w14:paraId="32881F6C" w14:textId="77777777" w:rsidTr="007E6674">
        <w:trPr>
          <w:trHeight w:val="125"/>
        </w:trPr>
        <w:tc>
          <w:tcPr>
            <w:cnfStyle w:val="001000000000" w:firstRow="0" w:lastRow="0" w:firstColumn="1" w:lastColumn="0" w:oddVBand="0" w:evenVBand="0" w:oddHBand="0" w:evenHBand="0" w:firstRowFirstColumn="0" w:firstRowLastColumn="0" w:lastRowFirstColumn="0" w:lastRowLastColumn="0"/>
            <w:tcW w:w="2032" w:type="dxa"/>
          </w:tcPr>
          <w:p w14:paraId="5A381653" w14:textId="77777777" w:rsidR="003F30AA" w:rsidRPr="00C24A96" w:rsidRDefault="003F30AA">
            <w:pPr>
              <w:rPr>
                <w:sz w:val="20"/>
                <w:szCs w:val="20"/>
              </w:rPr>
            </w:pPr>
            <w:r w:rsidRPr="00C24A96">
              <w:rPr>
                <w:sz w:val="20"/>
                <w:szCs w:val="20"/>
              </w:rPr>
              <w:t>Issue 2: Utilization of other funding sources</w:t>
            </w:r>
          </w:p>
        </w:tc>
        <w:tc>
          <w:tcPr>
            <w:tcW w:w="4319" w:type="dxa"/>
          </w:tcPr>
          <w:p w14:paraId="34BD5AF3" w14:textId="77777777" w:rsidR="003F30AA" w:rsidRPr="00C24A96" w:rsidRDefault="003F30AA">
            <w:pPr>
              <w:cnfStyle w:val="000000000000" w:firstRow="0" w:lastRow="0" w:firstColumn="0" w:lastColumn="0" w:oddVBand="0" w:evenVBand="0" w:oddHBand="0" w:evenHBand="0" w:firstRowFirstColumn="0" w:firstRowLastColumn="0" w:lastRowFirstColumn="0" w:lastRowLastColumn="0"/>
              <w:rPr>
                <w:sz w:val="20"/>
                <w:szCs w:val="20"/>
              </w:rPr>
            </w:pPr>
            <w:r w:rsidRPr="00C24A96">
              <w:rPr>
                <w:sz w:val="20"/>
                <w:szCs w:val="20"/>
              </w:rPr>
              <w:t>See above Section 39.911 – SECO is the likely source of how IRA funds will be distributed in Texas.</w:t>
            </w:r>
          </w:p>
          <w:p w14:paraId="24B13FA5" w14:textId="77777777" w:rsidR="003F30AA" w:rsidRPr="00C24A96" w:rsidRDefault="003F30AA">
            <w:pPr>
              <w:cnfStyle w:val="000000000000" w:firstRow="0" w:lastRow="0" w:firstColumn="0" w:lastColumn="0" w:oddVBand="0" w:evenVBand="0" w:oddHBand="0" w:evenHBand="0" w:firstRowFirstColumn="0" w:firstRowLastColumn="0" w:lastRowFirstColumn="0" w:lastRowLastColumn="0"/>
              <w:rPr>
                <w:sz w:val="20"/>
                <w:szCs w:val="20"/>
              </w:rPr>
            </w:pPr>
            <w:r w:rsidRPr="00C24A96">
              <w:rPr>
                <w:sz w:val="20"/>
                <w:szCs w:val="20"/>
              </w:rPr>
              <w:t>SECO, Texas Department of Housing and Community Affairs (TDHCA), Community Action Agencies (CAAs), Non-Profit organizations, and DOE have programs supporting EE for Low-Income and Underserved communities.</w:t>
            </w:r>
          </w:p>
        </w:tc>
        <w:tc>
          <w:tcPr>
            <w:tcW w:w="3724" w:type="dxa"/>
          </w:tcPr>
          <w:p w14:paraId="3EE356DD" w14:textId="77777777" w:rsidR="003F30AA" w:rsidRPr="00C24A96" w:rsidRDefault="003F30AA">
            <w:pPr>
              <w:cnfStyle w:val="000000000000" w:firstRow="0" w:lastRow="0" w:firstColumn="0" w:lastColumn="0" w:oddVBand="0" w:evenVBand="0" w:oddHBand="0" w:evenHBand="0" w:firstRowFirstColumn="0" w:firstRowLastColumn="0" w:lastRowFirstColumn="0" w:lastRowLastColumn="0"/>
              <w:rPr>
                <w:sz w:val="20"/>
                <w:szCs w:val="20"/>
              </w:rPr>
            </w:pPr>
            <w:r w:rsidRPr="00C24A96">
              <w:rPr>
                <w:b/>
                <w:bCs/>
                <w:sz w:val="20"/>
                <w:szCs w:val="20"/>
              </w:rPr>
              <w:t>Medium Priority:</w:t>
            </w:r>
            <w:r w:rsidRPr="00C24A96">
              <w:rPr>
                <w:sz w:val="20"/>
                <w:szCs w:val="20"/>
              </w:rPr>
              <w:t xml:space="preserve"> The group agrees leveraging and utilizing funds from other sources is important; however, barriers do exist, such as the one-year planning/reporting program cycle.</w:t>
            </w:r>
          </w:p>
        </w:tc>
      </w:tr>
      <w:tr w:rsidR="003F30AA" w14:paraId="2AF07605" w14:textId="77777777" w:rsidTr="007E66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tcPr>
          <w:p w14:paraId="2B2A427C" w14:textId="77777777" w:rsidR="003F30AA" w:rsidRPr="00C24A96" w:rsidRDefault="003F30AA">
            <w:pPr>
              <w:rPr>
                <w:sz w:val="20"/>
                <w:szCs w:val="20"/>
              </w:rPr>
            </w:pPr>
            <w:r w:rsidRPr="00C24A96">
              <w:rPr>
                <w:sz w:val="20"/>
                <w:szCs w:val="20"/>
              </w:rPr>
              <w:t>Issue 3: Partnerships and program development</w:t>
            </w:r>
          </w:p>
        </w:tc>
        <w:tc>
          <w:tcPr>
            <w:tcW w:w="4319" w:type="dxa"/>
          </w:tcPr>
          <w:p w14:paraId="0F455722" w14:textId="77777777" w:rsidR="003F30AA" w:rsidRPr="00C24A96" w:rsidRDefault="003F30AA">
            <w:pPr>
              <w:cnfStyle w:val="000000100000" w:firstRow="0" w:lastRow="0" w:firstColumn="0" w:lastColumn="0" w:oddVBand="0" w:evenVBand="0" w:oddHBand="1" w:evenHBand="0" w:firstRowFirstColumn="0" w:firstRowLastColumn="0" w:lastRowFirstColumn="0" w:lastRowLastColumn="0"/>
              <w:rPr>
                <w:sz w:val="20"/>
                <w:szCs w:val="20"/>
              </w:rPr>
            </w:pPr>
            <w:r w:rsidRPr="00C24A96">
              <w:rPr>
                <w:sz w:val="20"/>
                <w:szCs w:val="20"/>
              </w:rPr>
              <w:t>Section 39.905 (f) requires coordination between targeted low-income and federal weatherization programs. It also requires targeted low-income programs to comply with the same audit requirements that apply to federal weatherization programs.</w:t>
            </w:r>
          </w:p>
        </w:tc>
        <w:tc>
          <w:tcPr>
            <w:tcW w:w="3724" w:type="dxa"/>
          </w:tcPr>
          <w:p w14:paraId="722C5CC9" w14:textId="77777777" w:rsidR="003F30AA" w:rsidRPr="00C24A96" w:rsidRDefault="003F30AA">
            <w:pPr>
              <w:cnfStyle w:val="000000100000" w:firstRow="0" w:lastRow="0" w:firstColumn="0" w:lastColumn="0" w:oddVBand="0" w:evenVBand="0" w:oddHBand="1" w:evenHBand="0" w:firstRowFirstColumn="0" w:firstRowLastColumn="0" w:lastRowFirstColumn="0" w:lastRowLastColumn="0"/>
              <w:rPr>
                <w:b/>
                <w:bCs/>
                <w:sz w:val="20"/>
                <w:szCs w:val="20"/>
              </w:rPr>
            </w:pPr>
            <w:r w:rsidRPr="00C24A96">
              <w:rPr>
                <w:b/>
                <w:bCs/>
                <w:sz w:val="20"/>
                <w:szCs w:val="20"/>
              </w:rPr>
              <w:t xml:space="preserve">Low Priority: </w:t>
            </w:r>
            <w:r w:rsidRPr="00C24A96">
              <w:rPr>
                <w:sz w:val="20"/>
                <w:szCs w:val="20"/>
              </w:rPr>
              <w:t>The group agrees partnerships and collaboration in program development is important; however, barriers exist, such as staffing, competing priorities, and timing.</w:t>
            </w:r>
          </w:p>
        </w:tc>
      </w:tr>
    </w:tbl>
    <w:p w14:paraId="19D4AEAB" w14:textId="659EC92E" w:rsidR="00CF07E4" w:rsidRPr="00530584" w:rsidRDefault="007E6674" w:rsidP="003F30AA">
      <w:pPr>
        <w:rPr>
          <w:b/>
          <w:bCs/>
        </w:rPr>
      </w:pPr>
      <w:r>
        <w:br/>
      </w:r>
      <w:r w:rsidR="003F30AA" w:rsidRPr="00530584">
        <w:t xml:space="preserve">For each identified key issue above, the following table summarizes areas of agreement, multiple perspectives expressed, and changes that could be needed. </w:t>
      </w:r>
      <w:r>
        <w:br/>
      </w:r>
    </w:p>
    <w:tbl>
      <w:tblPr>
        <w:tblStyle w:val="GridTable4-Accent5"/>
        <w:tblW w:w="1014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461"/>
        <w:gridCol w:w="3214"/>
        <w:gridCol w:w="2954"/>
        <w:gridCol w:w="1406"/>
        <w:gridCol w:w="1106"/>
      </w:tblGrid>
      <w:tr w:rsidR="007E6674" w:rsidRPr="00530584" w14:paraId="322FCC87" w14:textId="77777777" w:rsidTr="007E6674">
        <w:trPr>
          <w:cnfStyle w:val="100000000000" w:firstRow="1" w:lastRow="0" w:firstColumn="0" w:lastColumn="0" w:oddVBand="0" w:evenVBand="0" w:oddHBand="0" w:evenHBand="0" w:firstRowFirstColumn="0" w:firstRowLastColumn="0" w:lastRowFirstColumn="0" w:lastRowLastColumn="0"/>
          <w:trHeight w:val="1325"/>
          <w:tblHeader/>
        </w:trPr>
        <w:tc>
          <w:tcPr>
            <w:cnfStyle w:val="001000000000" w:firstRow="0" w:lastRow="0" w:firstColumn="1" w:lastColumn="0" w:oddVBand="0" w:evenVBand="0" w:oddHBand="0" w:evenHBand="0" w:firstRowFirstColumn="0" w:firstRowLastColumn="0" w:lastRowFirstColumn="0" w:lastRowLastColumn="0"/>
            <w:tcW w:w="1461" w:type="dxa"/>
            <w:tcBorders>
              <w:top w:val="none" w:sz="0" w:space="0" w:color="auto"/>
              <w:left w:val="none" w:sz="0" w:space="0" w:color="auto"/>
              <w:bottom w:val="none" w:sz="0" w:space="0" w:color="auto"/>
              <w:right w:val="none" w:sz="0" w:space="0" w:color="auto"/>
            </w:tcBorders>
            <w:shd w:val="clear" w:color="auto" w:fill="25408F"/>
            <w:vAlign w:val="bottom"/>
          </w:tcPr>
          <w:p w14:paraId="6042D254" w14:textId="495813C4" w:rsidR="007E6674" w:rsidRPr="00530584" w:rsidRDefault="007E6674" w:rsidP="007E6674">
            <w:pPr>
              <w:pStyle w:val="TT-TableHeading"/>
              <w:rPr>
                <w:b w:val="0"/>
                <w:bCs/>
                <w:szCs w:val="20"/>
              </w:rPr>
            </w:pPr>
            <w:r w:rsidRPr="00CF0A51">
              <w:t>Key issue</w:t>
            </w:r>
          </w:p>
        </w:tc>
        <w:tc>
          <w:tcPr>
            <w:tcW w:w="3214" w:type="dxa"/>
            <w:tcBorders>
              <w:top w:val="none" w:sz="0" w:space="0" w:color="auto"/>
              <w:left w:val="none" w:sz="0" w:space="0" w:color="auto"/>
              <w:bottom w:val="none" w:sz="0" w:space="0" w:color="auto"/>
              <w:right w:val="none" w:sz="0" w:space="0" w:color="auto"/>
            </w:tcBorders>
            <w:shd w:val="clear" w:color="auto" w:fill="25408F"/>
            <w:vAlign w:val="bottom"/>
          </w:tcPr>
          <w:p w14:paraId="7E8BD1CE" w14:textId="093C7E53" w:rsidR="007E6674" w:rsidRPr="00530584" w:rsidRDefault="007E6674" w:rsidP="007E6674">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Areas of agreement</w:t>
            </w:r>
          </w:p>
        </w:tc>
        <w:tc>
          <w:tcPr>
            <w:tcW w:w="2954" w:type="dxa"/>
            <w:tcBorders>
              <w:top w:val="none" w:sz="0" w:space="0" w:color="auto"/>
              <w:left w:val="none" w:sz="0" w:space="0" w:color="auto"/>
              <w:bottom w:val="none" w:sz="0" w:space="0" w:color="auto"/>
              <w:right w:val="none" w:sz="0" w:space="0" w:color="auto"/>
            </w:tcBorders>
            <w:shd w:val="clear" w:color="auto" w:fill="25408F"/>
            <w:vAlign w:val="bottom"/>
          </w:tcPr>
          <w:p w14:paraId="54FCBE40" w14:textId="199BDB8F" w:rsidR="007E6674" w:rsidRPr="00530584" w:rsidRDefault="007E6674" w:rsidP="007E6674">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Areas of debate</w:t>
            </w:r>
          </w:p>
        </w:tc>
        <w:tc>
          <w:tcPr>
            <w:tcW w:w="1406" w:type="dxa"/>
            <w:tcBorders>
              <w:top w:val="none" w:sz="0" w:space="0" w:color="auto"/>
              <w:left w:val="none" w:sz="0" w:space="0" w:color="auto"/>
              <w:bottom w:val="none" w:sz="0" w:space="0" w:color="auto"/>
              <w:right w:val="none" w:sz="0" w:space="0" w:color="auto"/>
            </w:tcBorders>
            <w:shd w:val="clear" w:color="auto" w:fill="25408F"/>
            <w:vAlign w:val="bottom"/>
          </w:tcPr>
          <w:p w14:paraId="7F1B852C" w14:textId="1C25ECDA" w:rsidR="007E6674" w:rsidRPr="00530584" w:rsidRDefault="007E6674" w:rsidP="007E6674">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 xml:space="preserve">Would this require legislation or rulemaking? If so, what? </w:t>
            </w:r>
          </w:p>
        </w:tc>
        <w:tc>
          <w:tcPr>
            <w:tcW w:w="1106" w:type="dxa"/>
            <w:tcBorders>
              <w:top w:val="none" w:sz="0" w:space="0" w:color="auto"/>
              <w:left w:val="none" w:sz="0" w:space="0" w:color="auto"/>
              <w:bottom w:val="none" w:sz="0" w:space="0" w:color="auto"/>
              <w:right w:val="none" w:sz="0" w:space="0" w:color="auto"/>
            </w:tcBorders>
            <w:shd w:val="clear" w:color="auto" w:fill="25408F"/>
            <w:vAlign w:val="bottom"/>
          </w:tcPr>
          <w:p w14:paraId="5DD0E6B6" w14:textId="67ED983C" w:rsidR="007E6674" w:rsidRPr="00530584" w:rsidRDefault="007E6674" w:rsidP="007E6674">
            <w:pPr>
              <w:pStyle w:val="TT-TableHeading"/>
              <w:cnfStyle w:val="100000000000" w:firstRow="1" w:lastRow="0" w:firstColumn="0" w:lastColumn="0" w:oddVBand="0" w:evenVBand="0" w:oddHBand="0" w:evenHBand="0" w:firstRowFirstColumn="0" w:firstRowLastColumn="0" w:lastRowFirstColumn="0" w:lastRowLastColumn="0"/>
              <w:rPr>
                <w:szCs w:val="20"/>
              </w:rPr>
            </w:pPr>
            <w:r w:rsidRPr="00CF0A51">
              <w:t>Could another process address?</w:t>
            </w:r>
          </w:p>
        </w:tc>
      </w:tr>
      <w:tr w:rsidR="003F30AA" w:rsidRPr="00530584" w14:paraId="65AEBAD4" w14:textId="77777777" w:rsidTr="007E6674">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461" w:type="dxa"/>
          </w:tcPr>
          <w:p w14:paraId="6EC62CE9" w14:textId="77777777" w:rsidR="003F30AA" w:rsidRPr="00530584" w:rsidRDefault="003F30AA">
            <w:pPr>
              <w:rPr>
                <w:sz w:val="20"/>
                <w:szCs w:val="20"/>
              </w:rPr>
            </w:pPr>
            <w:r w:rsidRPr="00530584">
              <w:rPr>
                <w:sz w:val="20"/>
                <w:szCs w:val="20"/>
              </w:rPr>
              <w:t>Issue 1: Identification of other funding sources</w:t>
            </w:r>
          </w:p>
        </w:tc>
        <w:tc>
          <w:tcPr>
            <w:tcW w:w="3214" w:type="dxa"/>
          </w:tcPr>
          <w:p w14:paraId="43B5C6A1" w14:textId="77777777" w:rsidR="003F30AA" w:rsidRPr="00530584" w:rsidRDefault="003F30AA">
            <w:pPr>
              <w:cnfStyle w:val="000000100000" w:firstRow="0" w:lastRow="0" w:firstColumn="0" w:lastColumn="0" w:oddVBand="0" w:evenVBand="0" w:oddHBand="1" w:evenHBand="0" w:firstRowFirstColumn="0" w:firstRowLastColumn="0" w:lastRowFirstColumn="0" w:lastRowLastColumn="0"/>
              <w:rPr>
                <w:sz w:val="20"/>
                <w:szCs w:val="20"/>
              </w:rPr>
            </w:pPr>
            <w:r w:rsidRPr="00530584">
              <w:rPr>
                <w:sz w:val="20"/>
                <w:szCs w:val="20"/>
              </w:rPr>
              <w:t>Stakeholders identified there is additional funding for low-income weatherization.</w:t>
            </w:r>
          </w:p>
          <w:p w14:paraId="09B90524" w14:textId="77777777" w:rsidR="003F30AA" w:rsidRPr="00530584" w:rsidRDefault="003F30AA">
            <w:pPr>
              <w:cnfStyle w:val="000000100000" w:firstRow="0" w:lastRow="0" w:firstColumn="0" w:lastColumn="0" w:oddVBand="0" w:evenVBand="0" w:oddHBand="1" w:evenHBand="0" w:firstRowFirstColumn="0" w:firstRowLastColumn="0" w:lastRowFirstColumn="0" w:lastRowLastColumn="0"/>
              <w:rPr>
                <w:sz w:val="20"/>
                <w:szCs w:val="20"/>
              </w:rPr>
            </w:pPr>
            <w:r w:rsidRPr="00530584">
              <w:rPr>
                <w:sz w:val="20"/>
                <w:szCs w:val="20"/>
              </w:rPr>
              <w:t>Stakeholders identified potential funding sources for both low-income and underserved segments: Inflation Reduction Act (IRA), Infrastructure Investment and Jobs Act (IIJA), Property Assessed Clean Energy Program (PACE), Housing and Economic Recovery Act (HERA), and HOME program, 25c Tax Credits.</w:t>
            </w:r>
          </w:p>
        </w:tc>
        <w:tc>
          <w:tcPr>
            <w:tcW w:w="2954" w:type="dxa"/>
          </w:tcPr>
          <w:p w14:paraId="1A06F88B" w14:textId="77777777" w:rsidR="003F30AA" w:rsidRPr="00530584" w:rsidRDefault="003F30AA">
            <w:pPr>
              <w:cnfStyle w:val="000000100000" w:firstRow="0" w:lastRow="0" w:firstColumn="0" w:lastColumn="0" w:oddVBand="0" w:evenVBand="0" w:oddHBand="1" w:evenHBand="0" w:firstRowFirstColumn="0" w:firstRowLastColumn="0" w:lastRowFirstColumn="0" w:lastRowLastColumn="0"/>
              <w:rPr>
                <w:sz w:val="20"/>
                <w:szCs w:val="20"/>
              </w:rPr>
            </w:pPr>
            <w:r w:rsidRPr="00530584">
              <w:rPr>
                <w:sz w:val="20"/>
                <w:szCs w:val="20"/>
                <w:u w:val="single"/>
              </w:rPr>
              <w:t>Perspective 1:</w:t>
            </w:r>
            <w:r w:rsidRPr="00530584">
              <w:rPr>
                <w:sz w:val="20"/>
                <w:szCs w:val="20"/>
              </w:rPr>
              <w:t xml:space="preserve"> IRA funding is capturing attention right now; however, a lateral alignment may negatively impact low-income programs as there are requirements that may create barriers to participation.</w:t>
            </w:r>
          </w:p>
          <w:p w14:paraId="0DA47D81" w14:textId="77777777" w:rsidR="003F30AA" w:rsidRPr="00530584" w:rsidRDefault="003F30AA">
            <w:pPr>
              <w:cnfStyle w:val="000000100000" w:firstRow="0" w:lastRow="0" w:firstColumn="0" w:lastColumn="0" w:oddVBand="0" w:evenVBand="0" w:oddHBand="1" w:evenHBand="0" w:firstRowFirstColumn="0" w:firstRowLastColumn="0" w:lastRowFirstColumn="0" w:lastRowLastColumn="0"/>
              <w:rPr>
                <w:sz w:val="20"/>
                <w:szCs w:val="20"/>
              </w:rPr>
            </w:pPr>
            <w:r w:rsidRPr="00530584">
              <w:rPr>
                <w:sz w:val="20"/>
                <w:szCs w:val="20"/>
                <w:u w:val="single"/>
              </w:rPr>
              <w:t>Perspective 2:</w:t>
            </w:r>
            <w:r w:rsidRPr="00530584">
              <w:rPr>
                <w:sz w:val="20"/>
                <w:szCs w:val="20"/>
              </w:rPr>
              <w:t xml:space="preserve"> Some organizations have utilized community service block grants to conduct baseline repairs to ready low-income homes for weatherization.</w:t>
            </w:r>
          </w:p>
        </w:tc>
        <w:tc>
          <w:tcPr>
            <w:tcW w:w="1406" w:type="dxa"/>
          </w:tcPr>
          <w:p w14:paraId="7A6F63EC" w14:textId="2E9FA27F" w:rsidR="003F30AA" w:rsidRPr="00530584" w:rsidRDefault="003F30AA">
            <w:pPr>
              <w:cnfStyle w:val="000000100000" w:firstRow="0" w:lastRow="0" w:firstColumn="0" w:lastColumn="0" w:oddVBand="0" w:evenVBand="0" w:oddHBand="1" w:evenHBand="0" w:firstRowFirstColumn="0" w:firstRowLastColumn="0" w:lastRowFirstColumn="0" w:lastRowLastColumn="0"/>
              <w:rPr>
                <w:sz w:val="20"/>
                <w:szCs w:val="20"/>
              </w:rPr>
            </w:pPr>
            <w:r w:rsidRPr="00530584">
              <w:rPr>
                <w:sz w:val="20"/>
                <w:szCs w:val="20"/>
              </w:rPr>
              <w:t xml:space="preserve">No Changes </w:t>
            </w:r>
          </w:p>
        </w:tc>
        <w:tc>
          <w:tcPr>
            <w:tcW w:w="1106" w:type="dxa"/>
          </w:tcPr>
          <w:p w14:paraId="1E595F6E" w14:textId="77777777" w:rsidR="003F30AA" w:rsidRPr="00530584" w:rsidRDefault="003F30AA">
            <w:pPr>
              <w:cnfStyle w:val="000000100000" w:firstRow="0" w:lastRow="0" w:firstColumn="0" w:lastColumn="0" w:oddVBand="0" w:evenVBand="0" w:oddHBand="1" w:evenHBand="0" w:firstRowFirstColumn="0" w:firstRowLastColumn="0" w:lastRowFirstColumn="0" w:lastRowLastColumn="0"/>
              <w:rPr>
                <w:sz w:val="20"/>
                <w:szCs w:val="20"/>
              </w:rPr>
            </w:pPr>
          </w:p>
        </w:tc>
      </w:tr>
      <w:tr w:rsidR="003F30AA" w:rsidRPr="00530584" w14:paraId="58B16862" w14:textId="77777777" w:rsidTr="007E6674">
        <w:trPr>
          <w:trHeight w:val="268"/>
        </w:trPr>
        <w:tc>
          <w:tcPr>
            <w:cnfStyle w:val="001000000000" w:firstRow="0" w:lastRow="0" w:firstColumn="1" w:lastColumn="0" w:oddVBand="0" w:evenVBand="0" w:oddHBand="0" w:evenHBand="0" w:firstRowFirstColumn="0" w:firstRowLastColumn="0" w:lastRowFirstColumn="0" w:lastRowLastColumn="0"/>
            <w:tcW w:w="1461" w:type="dxa"/>
          </w:tcPr>
          <w:p w14:paraId="7B4235DF" w14:textId="77777777" w:rsidR="003F30AA" w:rsidRPr="00530584" w:rsidRDefault="003F30AA">
            <w:pPr>
              <w:rPr>
                <w:sz w:val="20"/>
                <w:szCs w:val="20"/>
              </w:rPr>
            </w:pPr>
            <w:r w:rsidRPr="00530584">
              <w:rPr>
                <w:sz w:val="20"/>
                <w:szCs w:val="20"/>
              </w:rPr>
              <w:t>Issue 2: Utilization of other funding sources</w:t>
            </w:r>
          </w:p>
        </w:tc>
        <w:tc>
          <w:tcPr>
            <w:tcW w:w="3214" w:type="dxa"/>
          </w:tcPr>
          <w:p w14:paraId="3619AA91" w14:textId="77777777" w:rsidR="003F30AA" w:rsidRPr="00530584" w:rsidRDefault="003F30AA">
            <w:pPr>
              <w:cnfStyle w:val="000000000000" w:firstRow="0" w:lastRow="0" w:firstColumn="0" w:lastColumn="0" w:oddVBand="0" w:evenVBand="0" w:oddHBand="0" w:evenHBand="0" w:firstRowFirstColumn="0" w:firstRowLastColumn="0" w:lastRowFirstColumn="0" w:lastRowLastColumn="0"/>
              <w:rPr>
                <w:sz w:val="20"/>
                <w:szCs w:val="20"/>
              </w:rPr>
            </w:pPr>
            <w:r w:rsidRPr="00530584">
              <w:rPr>
                <w:sz w:val="20"/>
                <w:szCs w:val="20"/>
              </w:rPr>
              <w:t>Partnerships/collaborations with other organizations exist now (i.e., Utilities partnering with organizations like Habitat for Humanity).</w:t>
            </w:r>
          </w:p>
        </w:tc>
        <w:tc>
          <w:tcPr>
            <w:tcW w:w="2954" w:type="dxa"/>
          </w:tcPr>
          <w:p w14:paraId="11B14E93" w14:textId="77777777" w:rsidR="003F30AA" w:rsidRPr="00530584" w:rsidRDefault="003F30AA">
            <w:pPr>
              <w:cnfStyle w:val="000000000000" w:firstRow="0" w:lastRow="0" w:firstColumn="0" w:lastColumn="0" w:oddVBand="0" w:evenVBand="0" w:oddHBand="0" w:evenHBand="0" w:firstRowFirstColumn="0" w:firstRowLastColumn="0" w:lastRowFirstColumn="0" w:lastRowLastColumn="0"/>
              <w:rPr>
                <w:sz w:val="20"/>
                <w:szCs w:val="20"/>
              </w:rPr>
            </w:pPr>
            <w:r w:rsidRPr="00530584">
              <w:rPr>
                <w:sz w:val="20"/>
                <w:szCs w:val="20"/>
                <w:u w:val="single"/>
              </w:rPr>
              <w:t>Perspective 1 (More Around Program Design Collaboration):</w:t>
            </w:r>
            <w:r w:rsidRPr="00530584">
              <w:rPr>
                <w:sz w:val="20"/>
                <w:szCs w:val="20"/>
              </w:rPr>
              <w:t xml:space="preserve"> One utility has the option of a Low-Income qualifier that eliminates the “basic customer charge” from their monthly utility bill. This data is being considered a potential screening tool to identify low-income participants in their Marketplace EE program to eliminate the taboo income questions and claim these savings through low-income programs.</w:t>
            </w:r>
          </w:p>
          <w:p w14:paraId="1E45161B" w14:textId="77777777" w:rsidR="003F30AA" w:rsidRPr="00530584" w:rsidRDefault="003F30AA" w:rsidP="007C1994">
            <w:pPr>
              <w:cnfStyle w:val="000000000000" w:firstRow="0" w:lastRow="0" w:firstColumn="0" w:lastColumn="0" w:oddVBand="0" w:evenVBand="0" w:oddHBand="0" w:evenHBand="0" w:firstRowFirstColumn="0" w:firstRowLastColumn="0" w:lastRowFirstColumn="0" w:lastRowLastColumn="0"/>
              <w:rPr>
                <w:sz w:val="20"/>
                <w:szCs w:val="20"/>
              </w:rPr>
            </w:pPr>
            <w:r w:rsidRPr="00530584">
              <w:rPr>
                <w:sz w:val="20"/>
                <w:szCs w:val="20"/>
                <w:u w:val="single"/>
              </w:rPr>
              <w:t>Perspective 2:</w:t>
            </w:r>
            <w:r w:rsidRPr="00530584">
              <w:rPr>
                <w:sz w:val="20"/>
                <w:szCs w:val="20"/>
              </w:rPr>
              <w:t xml:space="preserve"> Project Bravo (Community Action Agency) for El Paso County, Large-Scale Low-Income Project example. Non-profits and CAAs are not held to the same regulatory requirements and planning cycles as utilities create a challenging collaborative environment. Utilities are unable to rely on annual savings to achieve goals.</w:t>
            </w:r>
          </w:p>
          <w:p w14:paraId="1FD1DF5A" w14:textId="77777777" w:rsidR="003F30AA" w:rsidRPr="00530584" w:rsidRDefault="003F30AA">
            <w:pPr>
              <w:cnfStyle w:val="000000000000" w:firstRow="0" w:lastRow="0" w:firstColumn="0" w:lastColumn="0" w:oddVBand="0" w:evenVBand="0" w:oddHBand="0" w:evenHBand="0" w:firstRowFirstColumn="0" w:firstRowLastColumn="0" w:lastRowFirstColumn="0" w:lastRowLastColumn="0"/>
              <w:rPr>
                <w:sz w:val="20"/>
                <w:szCs w:val="20"/>
              </w:rPr>
            </w:pPr>
            <w:r w:rsidRPr="00530584">
              <w:rPr>
                <w:sz w:val="20"/>
                <w:szCs w:val="20"/>
                <w:u w:val="single"/>
              </w:rPr>
              <w:t xml:space="preserve">Perspective 3: </w:t>
            </w:r>
            <w:r w:rsidRPr="00530584">
              <w:rPr>
                <w:sz w:val="20"/>
                <w:szCs w:val="20"/>
              </w:rPr>
              <w:t>Utilizing 25c Tax Credits requires a tax liability which many low-income households do not have.</w:t>
            </w:r>
          </w:p>
        </w:tc>
        <w:tc>
          <w:tcPr>
            <w:tcW w:w="1406" w:type="dxa"/>
          </w:tcPr>
          <w:p w14:paraId="51724920" w14:textId="0B445790" w:rsidR="003F30AA" w:rsidRPr="00530584" w:rsidRDefault="003F30AA">
            <w:pPr>
              <w:cnfStyle w:val="000000000000" w:firstRow="0" w:lastRow="0" w:firstColumn="0" w:lastColumn="0" w:oddVBand="0" w:evenVBand="0" w:oddHBand="0" w:evenHBand="0" w:firstRowFirstColumn="0" w:firstRowLastColumn="0" w:lastRowFirstColumn="0" w:lastRowLastColumn="0"/>
              <w:rPr>
                <w:sz w:val="20"/>
                <w:szCs w:val="20"/>
              </w:rPr>
            </w:pPr>
            <w:r w:rsidRPr="00530584">
              <w:rPr>
                <w:sz w:val="20"/>
                <w:szCs w:val="20"/>
              </w:rPr>
              <w:t>25.18</w:t>
            </w:r>
            <w:r w:rsidR="002540B2">
              <w:rPr>
                <w:sz w:val="20"/>
                <w:szCs w:val="20"/>
              </w:rPr>
              <w:t>2</w:t>
            </w:r>
            <w:r w:rsidRPr="00530584">
              <w:rPr>
                <w:sz w:val="20"/>
                <w:szCs w:val="20"/>
              </w:rPr>
              <w:t xml:space="preserve"> (d) Reporting – Each electric utility shall file by April 1</w:t>
            </w:r>
            <w:r w:rsidRPr="00530584">
              <w:rPr>
                <w:sz w:val="20"/>
                <w:szCs w:val="20"/>
                <w:vertAlign w:val="superscript"/>
              </w:rPr>
              <w:t>st</w:t>
            </w:r>
            <w:r w:rsidRPr="00530584">
              <w:rPr>
                <w:sz w:val="20"/>
                <w:szCs w:val="20"/>
              </w:rPr>
              <w:t xml:space="preserve"> of each program year an annual energy efficiency plan and report.</w:t>
            </w:r>
          </w:p>
        </w:tc>
        <w:tc>
          <w:tcPr>
            <w:tcW w:w="1106" w:type="dxa"/>
          </w:tcPr>
          <w:p w14:paraId="286C2AC4" w14:textId="77777777" w:rsidR="003F30AA" w:rsidRPr="00530584" w:rsidRDefault="003F30AA">
            <w:pPr>
              <w:cnfStyle w:val="000000000000" w:firstRow="0" w:lastRow="0" w:firstColumn="0" w:lastColumn="0" w:oddVBand="0" w:evenVBand="0" w:oddHBand="0" w:evenHBand="0" w:firstRowFirstColumn="0" w:firstRowLastColumn="0" w:lastRowFirstColumn="0" w:lastRowLastColumn="0"/>
              <w:rPr>
                <w:sz w:val="20"/>
                <w:szCs w:val="20"/>
              </w:rPr>
            </w:pPr>
          </w:p>
        </w:tc>
      </w:tr>
      <w:tr w:rsidR="003F30AA" w:rsidRPr="00530584" w14:paraId="1AB01A4A" w14:textId="77777777" w:rsidTr="008F46B8">
        <w:trPr>
          <w:cnfStyle w:val="000000100000" w:firstRow="0" w:lastRow="0" w:firstColumn="0" w:lastColumn="0" w:oddVBand="0" w:evenVBand="0" w:oddHBand="1" w:evenHBand="0" w:firstRowFirstColumn="0" w:firstRowLastColumn="0" w:lastRowFirstColumn="0" w:lastRowLastColumn="0"/>
          <w:trHeight w:val="7118"/>
        </w:trPr>
        <w:tc>
          <w:tcPr>
            <w:cnfStyle w:val="001000000000" w:firstRow="0" w:lastRow="0" w:firstColumn="1" w:lastColumn="0" w:oddVBand="0" w:evenVBand="0" w:oddHBand="0" w:evenHBand="0" w:firstRowFirstColumn="0" w:firstRowLastColumn="0" w:lastRowFirstColumn="0" w:lastRowLastColumn="0"/>
            <w:tcW w:w="1461" w:type="dxa"/>
          </w:tcPr>
          <w:p w14:paraId="28FE66DF" w14:textId="77777777" w:rsidR="003F30AA" w:rsidRPr="00530584" w:rsidRDefault="003F30AA" w:rsidP="007E6674">
            <w:pPr>
              <w:keepNext/>
              <w:keepLines/>
              <w:rPr>
                <w:sz w:val="20"/>
                <w:szCs w:val="20"/>
              </w:rPr>
            </w:pPr>
            <w:r w:rsidRPr="00530584">
              <w:rPr>
                <w:sz w:val="20"/>
                <w:szCs w:val="20"/>
              </w:rPr>
              <w:t>Issue 3: Partnerships and program development</w:t>
            </w:r>
          </w:p>
        </w:tc>
        <w:tc>
          <w:tcPr>
            <w:tcW w:w="3214" w:type="dxa"/>
          </w:tcPr>
          <w:p w14:paraId="42BD48BC" w14:textId="77777777" w:rsidR="003F30AA" w:rsidRPr="00530584" w:rsidRDefault="003F30AA"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530584">
              <w:rPr>
                <w:sz w:val="20"/>
                <w:szCs w:val="20"/>
              </w:rPr>
              <w:t>Stakeholders voiced that many of the “new” SECO funding sources, such as IRA, do not yet have defined requirements and/or rules.</w:t>
            </w:r>
          </w:p>
        </w:tc>
        <w:tc>
          <w:tcPr>
            <w:tcW w:w="2954" w:type="dxa"/>
          </w:tcPr>
          <w:p w14:paraId="729C3853" w14:textId="77777777" w:rsidR="003F30AA" w:rsidRPr="00530584" w:rsidRDefault="003F30AA"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530584">
              <w:rPr>
                <w:sz w:val="20"/>
                <w:szCs w:val="20"/>
                <w:u w:val="single"/>
              </w:rPr>
              <w:t>Perspective 1:</w:t>
            </w:r>
            <w:r w:rsidRPr="00530584">
              <w:rPr>
                <w:sz w:val="20"/>
                <w:szCs w:val="20"/>
              </w:rPr>
              <w:t xml:space="preserve"> Given each funding source’s rules and/or constraints, Collaborative customer education will be important to help them navigate programs. </w:t>
            </w:r>
          </w:p>
          <w:p w14:paraId="5109DEA2" w14:textId="77777777" w:rsidR="003F30AA" w:rsidRPr="00530584" w:rsidRDefault="003F30AA"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530584">
              <w:rPr>
                <w:sz w:val="20"/>
                <w:szCs w:val="20"/>
                <w:u w:val="single"/>
              </w:rPr>
              <w:t>Perspective 2:</w:t>
            </w:r>
            <w:r w:rsidRPr="00530584">
              <w:rPr>
                <w:sz w:val="20"/>
                <w:szCs w:val="20"/>
              </w:rPr>
              <w:t xml:space="preserve"> For new construction, targeting the HERA and HOME program by working with developers to incentivize new equipment installation may be a low-barrier (easier) route for partnerships and collaboration.</w:t>
            </w:r>
          </w:p>
          <w:p w14:paraId="08482C1C" w14:textId="77777777" w:rsidR="003F30AA" w:rsidRPr="00530584" w:rsidRDefault="003F30AA"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530584">
              <w:rPr>
                <w:sz w:val="20"/>
                <w:szCs w:val="20"/>
                <w:u w:val="single"/>
              </w:rPr>
              <w:t>Perspective 3</w:t>
            </w:r>
            <w:r w:rsidRPr="00530584">
              <w:rPr>
                <w:sz w:val="20"/>
                <w:szCs w:val="20"/>
              </w:rPr>
              <w:t xml:space="preserve">: There is an opportunity for third-party organizations to collaborate with other organizations (Municipal utilities, water, natural gas) to find additional funding and bring program benefits to other utilities vs. focusing all the burden on electric utilities.  </w:t>
            </w:r>
          </w:p>
        </w:tc>
        <w:tc>
          <w:tcPr>
            <w:tcW w:w="1406" w:type="dxa"/>
          </w:tcPr>
          <w:p w14:paraId="53D0F4FB" w14:textId="77777777" w:rsidR="003F30AA" w:rsidRPr="00530584" w:rsidRDefault="003F30AA"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p>
        </w:tc>
        <w:tc>
          <w:tcPr>
            <w:tcW w:w="1106" w:type="dxa"/>
          </w:tcPr>
          <w:p w14:paraId="1253249B" w14:textId="77777777" w:rsidR="003F30AA" w:rsidRPr="00530584" w:rsidRDefault="003F30AA" w:rsidP="007E6674">
            <w:pPr>
              <w:keepNext/>
              <w:keepLines/>
              <w:cnfStyle w:val="000000100000" w:firstRow="0" w:lastRow="0" w:firstColumn="0" w:lastColumn="0" w:oddVBand="0" w:evenVBand="0" w:oddHBand="1" w:evenHBand="0" w:firstRowFirstColumn="0" w:firstRowLastColumn="0" w:lastRowFirstColumn="0" w:lastRowLastColumn="0"/>
              <w:rPr>
                <w:sz w:val="20"/>
                <w:szCs w:val="20"/>
              </w:rPr>
            </w:pPr>
          </w:p>
        </w:tc>
      </w:tr>
      <w:tr w:rsidR="003F30AA" w:rsidRPr="00530584" w14:paraId="68EC5651" w14:textId="77777777" w:rsidTr="007E6674">
        <w:trPr>
          <w:trHeight w:val="268"/>
        </w:trPr>
        <w:tc>
          <w:tcPr>
            <w:cnfStyle w:val="001000000000" w:firstRow="0" w:lastRow="0" w:firstColumn="1" w:lastColumn="0" w:oddVBand="0" w:evenVBand="0" w:oddHBand="0" w:evenHBand="0" w:firstRowFirstColumn="0" w:firstRowLastColumn="0" w:lastRowFirstColumn="0" w:lastRowLastColumn="0"/>
            <w:tcW w:w="1461" w:type="dxa"/>
          </w:tcPr>
          <w:p w14:paraId="70ED4366" w14:textId="77777777" w:rsidR="003F30AA" w:rsidRPr="00530584" w:rsidRDefault="003F30AA" w:rsidP="007E6674">
            <w:pPr>
              <w:keepNext/>
              <w:keepLines/>
              <w:rPr>
                <w:sz w:val="20"/>
                <w:szCs w:val="20"/>
              </w:rPr>
            </w:pPr>
            <w:r w:rsidRPr="00530584">
              <w:rPr>
                <w:sz w:val="20"/>
                <w:szCs w:val="20"/>
              </w:rPr>
              <w:t>Issues 2 – 3 Specific to Underserved (Not Income Qualified)</w:t>
            </w:r>
          </w:p>
        </w:tc>
        <w:tc>
          <w:tcPr>
            <w:tcW w:w="3214" w:type="dxa"/>
          </w:tcPr>
          <w:p w14:paraId="593F9AF0" w14:textId="77777777" w:rsidR="003F30AA" w:rsidRPr="00530584" w:rsidRDefault="003F30AA"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530584">
              <w:rPr>
                <w:sz w:val="20"/>
                <w:szCs w:val="20"/>
              </w:rPr>
              <w:t>Stakeholders indicated a big challenge to partnerships is the timing of project completion.</w:t>
            </w:r>
          </w:p>
          <w:p w14:paraId="27D0BC75" w14:textId="77777777" w:rsidR="003F30AA" w:rsidRPr="00530584" w:rsidRDefault="003F30AA"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530584">
              <w:rPr>
                <w:sz w:val="20"/>
                <w:szCs w:val="20"/>
              </w:rPr>
              <w:t xml:space="preserve">Participating in community events, such as school or small business association events, are excellent communication and engagement channels for program education. </w:t>
            </w:r>
          </w:p>
        </w:tc>
        <w:tc>
          <w:tcPr>
            <w:tcW w:w="2954" w:type="dxa"/>
          </w:tcPr>
          <w:p w14:paraId="0DDAAEA5" w14:textId="77777777" w:rsidR="003F30AA" w:rsidRPr="00530584" w:rsidRDefault="003F30AA"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530584">
              <w:rPr>
                <w:sz w:val="20"/>
                <w:szCs w:val="20"/>
                <w:u w:val="single"/>
              </w:rPr>
              <w:t>Perspective 1:</w:t>
            </w:r>
            <w:r w:rsidRPr="00530584">
              <w:rPr>
                <w:sz w:val="20"/>
                <w:szCs w:val="20"/>
              </w:rPr>
              <w:t xml:space="preserve"> There are opportunities for the Utilities to cross-collaborate with other organizations/programs such as Better Building Initiative, Green Building Grants, PACE, TDHCA, etc. </w:t>
            </w:r>
          </w:p>
          <w:p w14:paraId="2E000F88" w14:textId="77777777" w:rsidR="003F30AA" w:rsidRPr="00530584" w:rsidRDefault="003F30AA"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530584">
              <w:rPr>
                <w:sz w:val="20"/>
                <w:szCs w:val="20"/>
                <w:u w:val="single"/>
              </w:rPr>
              <w:t xml:space="preserve">Perspective 2: </w:t>
            </w:r>
            <w:r w:rsidRPr="00530584">
              <w:rPr>
                <w:sz w:val="20"/>
                <w:szCs w:val="20"/>
              </w:rPr>
              <w:t xml:space="preserve">Past experiences of committing significant resources to apply for grants and collaborate with outside organizations with unsuccessful results causes hesitancy to move forward. </w:t>
            </w:r>
          </w:p>
          <w:p w14:paraId="3D856A05" w14:textId="77777777" w:rsidR="003F30AA" w:rsidRPr="00530584" w:rsidDel="00CC76A1" w:rsidRDefault="003F30AA"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530584">
              <w:rPr>
                <w:sz w:val="20"/>
                <w:szCs w:val="20"/>
                <w:u w:val="single"/>
              </w:rPr>
              <w:t xml:space="preserve">Perspective 3: </w:t>
            </w:r>
            <w:r w:rsidRPr="00530584">
              <w:rPr>
                <w:sz w:val="20"/>
                <w:szCs w:val="20"/>
              </w:rPr>
              <w:t>Due to a lack of response and staffing, some seek third-party implementors to act as an agency for underserved rural communities.</w:t>
            </w:r>
          </w:p>
        </w:tc>
        <w:tc>
          <w:tcPr>
            <w:tcW w:w="1406" w:type="dxa"/>
          </w:tcPr>
          <w:p w14:paraId="42410819" w14:textId="77777777" w:rsidR="003F30AA" w:rsidRPr="00530584" w:rsidDel="00CC76A1" w:rsidRDefault="003F30AA"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c>
          <w:tcPr>
            <w:tcW w:w="1106" w:type="dxa"/>
          </w:tcPr>
          <w:p w14:paraId="53E08F75" w14:textId="77777777" w:rsidR="003F30AA" w:rsidRPr="00530584" w:rsidDel="00CC76A1" w:rsidRDefault="003F30AA" w:rsidP="007E6674">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r>
    </w:tbl>
    <w:p w14:paraId="4DB840F5" w14:textId="77777777" w:rsidR="003F30AA" w:rsidRDefault="003F30AA" w:rsidP="003F30AA">
      <w:pPr>
        <w:rPr>
          <w:sz w:val="20"/>
        </w:rPr>
      </w:pPr>
    </w:p>
    <w:p w14:paraId="3DE586EF" w14:textId="6ED44681" w:rsidR="00673E5C" w:rsidRPr="000275F1" w:rsidRDefault="00673E5C" w:rsidP="00673E5C">
      <w:pPr>
        <w:rPr>
          <w:b/>
          <w:bCs/>
          <w:sz w:val="32"/>
          <w:szCs w:val="32"/>
        </w:rPr>
      </w:pPr>
      <w:r w:rsidRPr="00A340E0">
        <w:rPr>
          <w:b/>
          <w:bCs/>
          <w:sz w:val="24"/>
          <w:szCs w:val="24"/>
        </w:rPr>
        <w:t>Session 4 March 8th, 2023</w:t>
      </w:r>
      <w:r>
        <w:rPr>
          <w:b/>
          <w:bCs/>
          <w:sz w:val="24"/>
          <w:szCs w:val="24"/>
        </w:rPr>
        <w:t xml:space="preserve">, </w:t>
      </w:r>
      <w:r w:rsidRPr="00A340E0">
        <w:rPr>
          <w:b/>
          <w:bCs/>
          <w:sz w:val="24"/>
          <w:szCs w:val="24"/>
        </w:rPr>
        <w:t>Low Income and Underserved Segments Working Group</w:t>
      </w:r>
    </w:p>
    <w:p w14:paraId="6B273524" w14:textId="2A64D515" w:rsidR="000D68C3" w:rsidRPr="00286114" w:rsidRDefault="008664D5" w:rsidP="000D68C3">
      <w:pPr>
        <w:rPr>
          <w:b/>
          <w:bCs/>
          <w:szCs w:val="22"/>
        </w:rPr>
      </w:pPr>
      <w:r w:rsidRPr="00286114">
        <w:rPr>
          <w:szCs w:val="22"/>
        </w:rPr>
        <w:t xml:space="preserve">The </w:t>
      </w:r>
      <w:r w:rsidR="00B57AD6" w:rsidRPr="00286114">
        <w:rPr>
          <w:szCs w:val="22"/>
        </w:rPr>
        <w:t xml:space="preserve">Low Income and Underserved Segments </w:t>
      </w:r>
      <w:r w:rsidR="004D704D" w:rsidRPr="00286114">
        <w:rPr>
          <w:szCs w:val="22"/>
        </w:rPr>
        <w:t>w</w:t>
      </w:r>
      <w:r w:rsidR="00B57AD6" w:rsidRPr="00286114">
        <w:rPr>
          <w:szCs w:val="22"/>
        </w:rPr>
        <w:t>orking</w:t>
      </w:r>
      <w:r w:rsidR="00B57AD6" w:rsidRPr="00286114">
        <w:rPr>
          <w:b/>
          <w:bCs/>
          <w:szCs w:val="22"/>
        </w:rPr>
        <w:t xml:space="preserve"> </w:t>
      </w:r>
      <w:r w:rsidRPr="00286114">
        <w:rPr>
          <w:szCs w:val="22"/>
        </w:rPr>
        <w:t>group discussed the Best Practices and Overarching Themes that emerged during all the workshops</w:t>
      </w:r>
      <w:r w:rsidR="00DB15B2" w:rsidRPr="00286114">
        <w:rPr>
          <w:szCs w:val="22"/>
        </w:rPr>
        <w:t>,</w:t>
      </w:r>
      <w:r w:rsidRPr="00286114">
        <w:rPr>
          <w:szCs w:val="22"/>
        </w:rPr>
        <w:t xml:space="preserve"> including any wordsmithing and/or comments gathered for each presented. </w:t>
      </w:r>
      <w:r w:rsidR="000D68C3" w:rsidRPr="00286114">
        <w:rPr>
          <w:rStyle w:val="normaltextrun"/>
          <w:color w:val="000000"/>
          <w:szCs w:val="22"/>
          <w:shd w:val="clear" w:color="auto" w:fill="FFFFFF"/>
        </w:rPr>
        <w:t xml:space="preserve">In addition, the facilitator discussed the session summary tables and review process for the EEIP progress update. </w:t>
      </w:r>
    </w:p>
    <w:p w14:paraId="5ED9A7C5" w14:textId="04653008" w:rsidR="002E75F8" w:rsidRDefault="002E75F8" w:rsidP="008F46B8">
      <w:pPr>
        <w:pStyle w:val="Heading2"/>
        <w:keepNext/>
        <w:keepLines/>
      </w:pPr>
      <w:r>
        <w:t xml:space="preserve">Demand </w:t>
      </w:r>
      <w:r w:rsidR="45140E22">
        <w:t>Response</w:t>
      </w:r>
      <w:r>
        <w:t>/Load Management</w:t>
      </w:r>
    </w:p>
    <w:p w14:paraId="5F0626CD" w14:textId="23365C06" w:rsidR="002E75F8" w:rsidRDefault="000114E9" w:rsidP="008F46B8">
      <w:pPr>
        <w:pStyle w:val="Heading3"/>
        <w:keepLines/>
      </w:pPr>
      <w:r w:rsidRPr="008E2860">
        <w:t>Session 1 January 2</w:t>
      </w:r>
      <w:r>
        <w:t>5</w:t>
      </w:r>
      <w:r>
        <w:rPr>
          <w:vertAlign w:val="superscript"/>
        </w:rPr>
        <w:t xml:space="preserve">, </w:t>
      </w:r>
      <w:r>
        <w:t>2023</w:t>
      </w:r>
      <w:r w:rsidR="001F702A">
        <w:t xml:space="preserve">, </w:t>
      </w:r>
      <w:r>
        <w:t>Role of Demand Response in Energy Efficiency Portfolios</w:t>
      </w:r>
      <w:r w:rsidR="002E75F8">
        <w:t xml:space="preserve"> </w:t>
      </w:r>
    </w:p>
    <w:p w14:paraId="04DECEC3" w14:textId="77777777" w:rsidR="00592032" w:rsidRPr="008E2860" w:rsidRDefault="00592032" w:rsidP="008F46B8">
      <w:pPr>
        <w:keepNext/>
        <w:keepLines/>
      </w:pPr>
      <w:r>
        <w:t xml:space="preserve">The table below summarizes the key issues identified and places a priority for addressing this issue in a rulemaking or other avenue. </w:t>
      </w:r>
    </w:p>
    <w:tbl>
      <w:tblPr>
        <w:tblStyle w:val="GridTable4-Accent5"/>
        <w:tblW w:w="100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76"/>
        <w:gridCol w:w="4599"/>
        <w:gridCol w:w="3600"/>
      </w:tblGrid>
      <w:tr w:rsidR="00592032" w:rsidRPr="000114E9" w14:paraId="51F45A93" w14:textId="77777777" w:rsidTr="008F46B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76" w:type="dxa"/>
            <w:tcBorders>
              <w:top w:val="none" w:sz="0" w:space="0" w:color="auto"/>
              <w:left w:val="none" w:sz="0" w:space="0" w:color="auto"/>
              <w:bottom w:val="none" w:sz="0" w:space="0" w:color="auto"/>
              <w:right w:val="none" w:sz="0" w:space="0" w:color="auto"/>
            </w:tcBorders>
            <w:shd w:val="clear" w:color="auto" w:fill="25408F"/>
          </w:tcPr>
          <w:p w14:paraId="72AED259" w14:textId="77777777" w:rsidR="00592032" w:rsidRPr="000114E9" w:rsidRDefault="00592032" w:rsidP="008F46B8">
            <w:pPr>
              <w:pStyle w:val="TT-TableHeading"/>
              <w:keepNext/>
              <w:keepLines/>
              <w:rPr>
                <w:bCs/>
              </w:rPr>
            </w:pPr>
            <w:r w:rsidRPr="000114E9">
              <w:t>Issue</w:t>
            </w:r>
          </w:p>
        </w:tc>
        <w:tc>
          <w:tcPr>
            <w:tcW w:w="4599" w:type="dxa"/>
            <w:tcBorders>
              <w:top w:val="none" w:sz="0" w:space="0" w:color="auto"/>
              <w:left w:val="none" w:sz="0" w:space="0" w:color="auto"/>
              <w:bottom w:val="none" w:sz="0" w:space="0" w:color="auto"/>
              <w:right w:val="none" w:sz="0" w:space="0" w:color="auto"/>
            </w:tcBorders>
            <w:shd w:val="clear" w:color="auto" w:fill="25408F"/>
          </w:tcPr>
          <w:p w14:paraId="37C8936C" w14:textId="77777777" w:rsidR="00592032" w:rsidRPr="000114E9" w:rsidRDefault="00592032" w:rsidP="008F46B8">
            <w:pPr>
              <w:pStyle w:val="TT-TableHeading"/>
              <w:keepNext/>
              <w:keepLines/>
              <w:cnfStyle w:val="100000000000" w:firstRow="1" w:lastRow="0" w:firstColumn="0" w:lastColumn="0" w:oddVBand="0" w:evenVBand="0" w:oddHBand="0" w:evenHBand="0" w:firstRowFirstColumn="0" w:firstRowLastColumn="0" w:lastRowFirstColumn="0" w:lastRowLastColumn="0"/>
              <w:rPr>
                <w:bCs/>
              </w:rPr>
            </w:pPr>
            <w:r w:rsidRPr="000114E9">
              <w:t>Summary</w:t>
            </w:r>
          </w:p>
        </w:tc>
        <w:tc>
          <w:tcPr>
            <w:tcW w:w="3600" w:type="dxa"/>
            <w:tcBorders>
              <w:top w:val="none" w:sz="0" w:space="0" w:color="auto"/>
              <w:left w:val="none" w:sz="0" w:space="0" w:color="auto"/>
              <w:bottom w:val="none" w:sz="0" w:space="0" w:color="auto"/>
              <w:right w:val="none" w:sz="0" w:space="0" w:color="auto"/>
            </w:tcBorders>
            <w:shd w:val="clear" w:color="auto" w:fill="25408F"/>
          </w:tcPr>
          <w:p w14:paraId="24CC7013" w14:textId="16E5C62D" w:rsidR="00592032" w:rsidRPr="000114E9" w:rsidRDefault="00592032" w:rsidP="008F46B8">
            <w:pPr>
              <w:pStyle w:val="TT-TableHeading"/>
              <w:keepNext/>
              <w:keepLines/>
              <w:cnfStyle w:val="100000000000" w:firstRow="1" w:lastRow="0" w:firstColumn="0" w:lastColumn="0" w:oddVBand="0" w:evenVBand="0" w:oddHBand="0" w:evenHBand="0" w:firstRowFirstColumn="0" w:firstRowLastColumn="0" w:lastRowFirstColumn="0" w:lastRowLastColumn="0"/>
              <w:rPr>
                <w:bCs/>
              </w:rPr>
            </w:pPr>
            <w:r w:rsidRPr="000114E9">
              <w:t xml:space="preserve">Working Group </w:t>
            </w:r>
            <w:r w:rsidR="008F46B8" w:rsidRPr="000114E9">
              <w:t>priority and why</w:t>
            </w:r>
          </w:p>
        </w:tc>
      </w:tr>
      <w:tr w:rsidR="00592032" w:rsidRPr="000114E9" w14:paraId="228D55F5" w14:textId="77777777" w:rsidTr="008F46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6" w:type="dxa"/>
          </w:tcPr>
          <w:p w14:paraId="264392CB" w14:textId="77777777" w:rsidR="00592032" w:rsidRPr="000114E9" w:rsidRDefault="00592032" w:rsidP="008F46B8">
            <w:pPr>
              <w:keepNext/>
              <w:keepLines/>
              <w:rPr>
                <w:b w:val="0"/>
                <w:bCs w:val="0"/>
                <w:sz w:val="20"/>
                <w:szCs w:val="20"/>
              </w:rPr>
            </w:pPr>
            <w:r w:rsidRPr="000114E9">
              <w:rPr>
                <w:sz w:val="20"/>
                <w:szCs w:val="20"/>
              </w:rPr>
              <w:t>Load Management (LM) Program Purpose in Energy Efficiency Portfolio</w:t>
            </w:r>
          </w:p>
        </w:tc>
        <w:tc>
          <w:tcPr>
            <w:tcW w:w="4599" w:type="dxa"/>
          </w:tcPr>
          <w:p w14:paraId="096343FA" w14:textId="77777777" w:rsidR="00592032" w:rsidRPr="000114E9" w:rsidRDefault="00592032"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0114E9">
              <w:rPr>
                <w:sz w:val="20"/>
                <w:szCs w:val="20"/>
              </w:rPr>
              <w:t>Senate Bill 3, PURA § 39.905(a)(2): “goal of legislature that all customers, in all customer classes, will have a choice of and access to energy efficiency alternatives and other choices from the market that allow each customer to reduce energy consumption, summer and winter peak demand, or energy costs.”</w:t>
            </w:r>
          </w:p>
          <w:p w14:paraId="10D7AA99" w14:textId="77777777" w:rsidR="00592032" w:rsidRPr="000114E9" w:rsidRDefault="00592032"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0114E9">
              <w:rPr>
                <w:sz w:val="20"/>
                <w:szCs w:val="20"/>
              </w:rPr>
              <w:t>All eight IOUs have commercial summer load management programs; Oncor added a winter load management (WLM) program in 2022; the other ERCOT utilities are piloting WLM programs in 2023. These WLM programs include 24/7 options.</w:t>
            </w:r>
          </w:p>
          <w:p w14:paraId="09CB3BF8" w14:textId="77777777" w:rsidR="00592032" w:rsidRPr="000114E9" w:rsidRDefault="00592032"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0114E9">
              <w:rPr>
                <w:sz w:val="20"/>
                <w:szCs w:val="20"/>
              </w:rPr>
              <w:t>Oncor, CenterPoint and El Paso also offer residential LM programs. These residential programs have been growing; with participation often capped below customer interest.</w:t>
            </w:r>
          </w:p>
        </w:tc>
        <w:tc>
          <w:tcPr>
            <w:tcW w:w="3600" w:type="dxa"/>
          </w:tcPr>
          <w:p w14:paraId="54C8485F" w14:textId="77777777" w:rsidR="00592032" w:rsidRPr="000114E9" w:rsidRDefault="00592032"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0114E9">
              <w:rPr>
                <w:b/>
                <w:bCs/>
                <w:sz w:val="20"/>
                <w:szCs w:val="20"/>
              </w:rPr>
              <w:t>High Priority:</w:t>
            </w:r>
            <w:r w:rsidRPr="000114E9">
              <w:rPr>
                <w:sz w:val="20"/>
                <w:szCs w:val="20"/>
              </w:rPr>
              <w:t xml:space="preserve"> Stakeholders voiced the importance of LM in meeting peak kW goals, others discussed the original purpose of energy efficiency  was to address market failures, incentivize behaviors and equipment that would not otherwise move forward at the individual level for a public benefit. Another viewpoint was the program should complement the competitive market in ERCOT. </w:t>
            </w:r>
          </w:p>
        </w:tc>
      </w:tr>
      <w:tr w:rsidR="008F46B8" w:rsidRPr="000114E9" w14:paraId="0CDBD367" w14:textId="77777777" w:rsidTr="008F46B8">
        <w:tc>
          <w:tcPr>
            <w:cnfStyle w:val="001000000000" w:firstRow="0" w:lastRow="0" w:firstColumn="1" w:lastColumn="0" w:oddVBand="0" w:evenVBand="0" w:oddHBand="0" w:evenHBand="0" w:firstRowFirstColumn="0" w:firstRowLastColumn="0" w:lastRowFirstColumn="0" w:lastRowLastColumn="0"/>
            <w:tcW w:w="1876" w:type="dxa"/>
            <w:shd w:val="clear" w:color="auto" w:fill="25408F"/>
          </w:tcPr>
          <w:p w14:paraId="5A9EAFB4" w14:textId="4B49296C" w:rsidR="008F46B8" w:rsidRPr="000114E9" w:rsidRDefault="008F46B8" w:rsidP="008F46B8">
            <w:pPr>
              <w:pStyle w:val="TT-TableHeading"/>
            </w:pPr>
            <w:r w:rsidRPr="000114E9">
              <w:t>Issue</w:t>
            </w:r>
          </w:p>
        </w:tc>
        <w:tc>
          <w:tcPr>
            <w:tcW w:w="4599" w:type="dxa"/>
            <w:shd w:val="clear" w:color="auto" w:fill="25408F"/>
          </w:tcPr>
          <w:p w14:paraId="14C76569" w14:textId="50C6FCE9" w:rsidR="008F46B8" w:rsidRPr="000114E9"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0114E9">
              <w:t>Summary</w:t>
            </w:r>
          </w:p>
        </w:tc>
        <w:tc>
          <w:tcPr>
            <w:tcW w:w="3600" w:type="dxa"/>
            <w:shd w:val="clear" w:color="auto" w:fill="25408F"/>
          </w:tcPr>
          <w:p w14:paraId="408A1887" w14:textId="7CE146F7" w:rsidR="008F46B8" w:rsidRPr="000114E9"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0114E9">
              <w:t>Working Group priority and why</w:t>
            </w:r>
          </w:p>
        </w:tc>
      </w:tr>
      <w:tr w:rsidR="00592032" w:rsidRPr="000114E9" w14:paraId="39E36D69" w14:textId="77777777" w:rsidTr="008F46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6" w:type="dxa"/>
            <w:shd w:val="clear" w:color="auto" w:fill="auto"/>
          </w:tcPr>
          <w:p w14:paraId="23274BA2" w14:textId="77777777" w:rsidR="00592032" w:rsidRPr="000114E9" w:rsidRDefault="00592032" w:rsidP="00E83C9E">
            <w:pPr>
              <w:rPr>
                <w:sz w:val="20"/>
                <w:szCs w:val="20"/>
              </w:rPr>
            </w:pPr>
            <w:r w:rsidRPr="000114E9">
              <w:rPr>
                <w:sz w:val="20"/>
                <w:szCs w:val="20"/>
              </w:rPr>
              <w:t>Demand Response Coordination</w:t>
            </w:r>
          </w:p>
        </w:tc>
        <w:tc>
          <w:tcPr>
            <w:tcW w:w="4599" w:type="dxa"/>
            <w:shd w:val="clear" w:color="auto" w:fill="auto"/>
          </w:tcPr>
          <w:p w14:paraId="358D3F19" w14:textId="14C4E90C" w:rsidR="00592032" w:rsidRPr="000114E9"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0114E9">
              <w:rPr>
                <w:sz w:val="20"/>
                <w:szCs w:val="20"/>
              </w:rPr>
              <w:t xml:space="preserve">PURA and </w:t>
            </w:r>
            <w:r w:rsidR="0014083D">
              <w:rPr>
                <w:sz w:val="20"/>
                <w:szCs w:val="20"/>
              </w:rPr>
              <w:t>16 TAC §25.181</w:t>
            </w:r>
            <w:r w:rsidRPr="000114E9">
              <w:rPr>
                <w:sz w:val="20"/>
                <w:szCs w:val="20"/>
              </w:rPr>
              <w:t xml:space="preserve"> require ERCOT utilities to use its best efforts to encourage and facilitate involvement of retail electric providers (REPs) in delivery of EE and DR programs.</w:t>
            </w:r>
          </w:p>
        </w:tc>
        <w:tc>
          <w:tcPr>
            <w:tcW w:w="3600" w:type="dxa"/>
            <w:shd w:val="clear" w:color="auto" w:fill="auto"/>
          </w:tcPr>
          <w:p w14:paraId="06BA733C" w14:textId="3BD8297C" w:rsidR="00592032" w:rsidRPr="000114E9" w:rsidRDefault="00F54B4E" w:rsidP="00E83C9E">
            <w:pPr>
              <w:cnfStyle w:val="000000100000" w:firstRow="0" w:lastRow="0" w:firstColumn="0" w:lastColumn="0" w:oddVBand="0" w:evenVBand="0" w:oddHBand="1" w:evenHBand="0" w:firstRowFirstColumn="0" w:firstRowLastColumn="0" w:lastRowFirstColumn="0" w:lastRowLastColumn="0"/>
              <w:rPr>
                <w:b/>
                <w:bCs/>
                <w:sz w:val="20"/>
                <w:szCs w:val="20"/>
              </w:rPr>
            </w:pPr>
            <w:r>
              <w:rPr>
                <w:b/>
                <w:bCs/>
                <w:sz w:val="20"/>
                <w:szCs w:val="20"/>
              </w:rPr>
              <w:t>Low</w:t>
            </w:r>
            <w:r w:rsidR="00592032" w:rsidRPr="000114E9">
              <w:rPr>
                <w:b/>
                <w:bCs/>
                <w:sz w:val="20"/>
                <w:szCs w:val="20"/>
              </w:rPr>
              <w:t xml:space="preserve"> Priority:</w:t>
            </w:r>
            <w:r w:rsidR="00592032" w:rsidRPr="000114E9">
              <w:rPr>
                <w:sz w:val="20"/>
                <w:szCs w:val="20"/>
              </w:rPr>
              <w:t xml:space="preserve"> Stakeholders discussed an opportunity for more coordination with changes to the ERCOT ERS program, more coordination with REPs, coordination at the state level with the inflation reduction act and infrastructure bills in particular to do more integrated Energy Efficiency/Demand Response.</w:t>
            </w:r>
          </w:p>
        </w:tc>
      </w:tr>
      <w:tr w:rsidR="008F46B8" w:rsidRPr="000114E9" w14:paraId="00C9771F" w14:textId="77777777" w:rsidTr="008F46B8">
        <w:tc>
          <w:tcPr>
            <w:cnfStyle w:val="001000000000" w:firstRow="0" w:lastRow="0" w:firstColumn="1" w:lastColumn="0" w:oddVBand="0" w:evenVBand="0" w:oddHBand="0" w:evenHBand="0" w:firstRowFirstColumn="0" w:firstRowLastColumn="0" w:lastRowFirstColumn="0" w:lastRowLastColumn="0"/>
            <w:tcW w:w="1876" w:type="dxa"/>
            <w:shd w:val="clear" w:color="auto" w:fill="25408F"/>
          </w:tcPr>
          <w:p w14:paraId="1E271C8D" w14:textId="487AD7D5" w:rsidR="008F46B8" w:rsidRPr="000114E9" w:rsidRDefault="008F46B8" w:rsidP="008F46B8">
            <w:pPr>
              <w:pStyle w:val="TT-TableHeading"/>
            </w:pPr>
            <w:r w:rsidRPr="000114E9">
              <w:t>Issue</w:t>
            </w:r>
          </w:p>
        </w:tc>
        <w:tc>
          <w:tcPr>
            <w:tcW w:w="4599" w:type="dxa"/>
            <w:shd w:val="clear" w:color="auto" w:fill="25408F"/>
          </w:tcPr>
          <w:p w14:paraId="5D7EFD7A" w14:textId="2BB6F067" w:rsidR="008F46B8" w:rsidRPr="000114E9"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0114E9">
              <w:t>Summary</w:t>
            </w:r>
          </w:p>
        </w:tc>
        <w:tc>
          <w:tcPr>
            <w:tcW w:w="3600" w:type="dxa"/>
            <w:shd w:val="clear" w:color="auto" w:fill="25408F"/>
          </w:tcPr>
          <w:p w14:paraId="6BCF0A42" w14:textId="24317A15" w:rsidR="008F46B8"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0114E9">
              <w:t>Working Group priority and why</w:t>
            </w:r>
          </w:p>
        </w:tc>
      </w:tr>
      <w:tr w:rsidR="00592032" w:rsidRPr="000114E9" w14:paraId="6313AD57" w14:textId="77777777" w:rsidTr="008F46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6" w:type="dxa"/>
          </w:tcPr>
          <w:p w14:paraId="64E919DA" w14:textId="77777777" w:rsidR="00592032" w:rsidRPr="000114E9" w:rsidRDefault="00592032" w:rsidP="00E83C9E">
            <w:pPr>
              <w:rPr>
                <w:sz w:val="20"/>
                <w:szCs w:val="20"/>
              </w:rPr>
            </w:pPr>
            <w:r w:rsidRPr="000114E9">
              <w:rPr>
                <w:sz w:val="20"/>
                <w:szCs w:val="20"/>
              </w:rPr>
              <w:t xml:space="preserve">LM Goal Contribution </w:t>
            </w:r>
          </w:p>
        </w:tc>
        <w:tc>
          <w:tcPr>
            <w:tcW w:w="4599" w:type="dxa"/>
          </w:tcPr>
          <w:p w14:paraId="5D91AFB0" w14:textId="77777777" w:rsidR="00592032" w:rsidRPr="000114E9"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0114E9">
              <w:rPr>
                <w:sz w:val="20"/>
                <w:szCs w:val="20"/>
              </w:rPr>
              <w:t xml:space="preserve">The percent of kW reductions from load management programs varies by utility, but over 60% of statewide energy efficiency portfolio kW reductions are typically from LM programs each year. </w:t>
            </w:r>
          </w:p>
        </w:tc>
        <w:tc>
          <w:tcPr>
            <w:tcW w:w="3600" w:type="dxa"/>
          </w:tcPr>
          <w:p w14:paraId="390DD791" w14:textId="77777777" w:rsidR="00592032" w:rsidRPr="000114E9"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0114E9">
              <w:rPr>
                <w:b/>
                <w:bCs/>
                <w:sz w:val="20"/>
                <w:szCs w:val="20"/>
              </w:rPr>
              <w:t>Medium Priority:</w:t>
            </w:r>
            <w:r w:rsidRPr="000114E9">
              <w:rPr>
                <w:sz w:val="20"/>
                <w:szCs w:val="20"/>
              </w:rPr>
              <w:t xml:space="preserve"> Stakeholders voiced if load management goals are changed whether adding a summer and winter peak, or separating them out from EE programs all together, goals will need to be adjusted.</w:t>
            </w:r>
          </w:p>
        </w:tc>
      </w:tr>
      <w:tr w:rsidR="00592032" w:rsidRPr="000114E9" w14:paraId="279CCDEC" w14:textId="77777777" w:rsidTr="008F46B8">
        <w:tc>
          <w:tcPr>
            <w:cnfStyle w:val="001000000000" w:firstRow="0" w:lastRow="0" w:firstColumn="1" w:lastColumn="0" w:oddVBand="0" w:evenVBand="0" w:oddHBand="0" w:evenHBand="0" w:firstRowFirstColumn="0" w:firstRowLastColumn="0" w:lastRowFirstColumn="0" w:lastRowLastColumn="0"/>
            <w:tcW w:w="1876" w:type="dxa"/>
          </w:tcPr>
          <w:p w14:paraId="04EDD061" w14:textId="77777777" w:rsidR="00592032" w:rsidRPr="000114E9" w:rsidRDefault="00592032" w:rsidP="008F46B8">
            <w:pPr>
              <w:keepNext/>
              <w:keepLines/>
              <w:rPr>
                <w:sz w:val="20"/>
                <w:szCs w:val="20"/>
              </w:rPr>
            </w:pPr>
            <w:r w:rsidRPr="000114E9">
              <w:rPr>
                <w:sz w:val="20"/>
                <w:szCs w:val="20"/>
              </w:rPr>
              <w:t>Use of LM Programs</w:t>
            </w:r>
          </w:p>
        </w:tc>
        <w:tc>
          <w:tcPr>
            <w:tcW w:w="4599" w:type="dxa"/>
          </w:tcPr>
          <w:p w14:paraId="325FD0B0" w14:textId="6CF5F083" w:rsidR="00592032" w:rsidRPr="000114E9"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0114E9">
              <w:rPr>
                <w:sz w:val="20"/>
                <w:szCs w:val="20"/>
              </w:rPr>
              <w:t xml:space="preserve">16 TAC § </w:t>
            </w:r>
            <w:r w:rsidR="004A570A">
              <w:rPr>
                <w:sz w:val="20"/>
                <w:szCs w:val="20"/>
              </w:rPr>
              <w:t>16 TAC §25.181</w:t>
            </w:r>
            <w:r w:rsidRPr="000114E9">
              <w:rPr>
                <w:sz w:val="20"/>
                <w:szCs w:val="20"/>
              </w:rPr>
              <w:t>( c )( 36 )  "load control activities that result in a reduction in peak demand, or a shifting of energy usage from a peak to an off-peak period or from high-price periods to lower price periods.“ Load management is used synonymously with demand response (DR) as DR is not defined in 25.181. Can be called for grid emergency or system reliability</w:t>
            </w:r>
          </w:p>
          <w:p w14:paraId="20D5B34D" w14:textId="77777777" w:rsidR="00592032" w:rsidRPr="000114E9"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c>
          <w:tcPr>
            <w:tcW w:w="3600" w:type="dxa"/>
          </w:tcPr>
          <w:p w14:paraId="414C4FC3" w14:textId="77777777" w:rsidR="00592032" w:rsidRPr="000114E9"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0114E9">
              <w:rPr>
                <w:b/>
                <w:bCs/>
                <w:sz w:val="20"/>
                <w:szCs w:val="20"/>
              </w:rPr>
              <w:t>Medium Priority:</w:t>
            </w:r>
            <w:r w:rsidRPr="000114E9">
              <w:rPr>
                <w:sz w:val="20"/>
                <w:szCs w:val="20"/>
              </w:rPr>
              <w:t xml:space="preserve"> Demand response provides benefits beyond energy efficiency including grid resiliency and flexibility.</w:t>
            </w:r>
          </w:p>
        </w:tc>
      </w:tr>
    </w:tbl>
    <w:p w14:paraId="52010E9C" w14:textId="3F403860" w:rsidR="00286C30" w:rsidRDefault="00592032" w:rsidP="00592032">
      <w:pPr>
        <w:rPr>
          <w:b/>
          <w:bCs/>
        </w:rPr>
      </w:pPr>
      <w:r>
        <w:t xml:space="preserve">For each identified key issue above, the following table summarizes areas of agreement, multiple perspectives expressed and changes that could be needed. </w:t>
      </w:r>
    </w:p>
    <w:tbl>
      <w:tblPr>
        <w:tblStyle w:val="GridTable4-Accent5"/>
        <w:tblW w:w="1014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98"/>
        <w:gridCol w:w="1878"/>
        <w:gridCol w:w="3719"/>
        <w:gridCol w:w="1497"/>
        <w:gridCol w:w="1449"/>
      </w:tblGrid>
      <w:tr w:rsidR="008F46B8" w:rsidRPr="00286C30" w14:paraId="772204A0" w14:textId="77777777" w:rsidTr="008F46B8">
        <w:trPr>
          <w:cnfStyle w:val="100000000000" w:firstRow="1" w:lastRow="0" w:firstColumn="0" w:lastColumn="0" w:oddVBand="0" w:evenVBand="0" w:oddHBand="0" w:evenHBand="0" w:firstRowFirstColumn="0" w:firstRowLastColumn="0" w:lastRowFirstColumn="0" w:lastRowLastColumn="0"/>
          <w:trHeight w:val="1325"/>
          <w:tblHeader/>
        </w:trPr>
        <w:tc>
          <w:tcPr>
            <w:cnfStyle w:val="001000000000" w:firstRow="0" w:lastRow="0" w:firstColumn="1" w:lastColumn="0" w:oddVBand="0" w:evenVBand="0" w:oddHBand="0" w:evenHBand="0" w:firstRowFirstColumn="0" w:firstRowLastColumn="0" w:lastRowFirstColumn="0" w:lastRowLastColumn="0"/>
            <w:tcW w:w="1598" w:type="dxa"/>
            <w:tcBorders>
              <w:top w:val="none" w:sz="0" w:space="0" w:color="auto"/>
              <w:left w:val="none" w:sz="0" w:space="0" w:color="auto"/>
              <w:bottom w:val="none" w:sz="0" w:space="0" w:color="auto"/>
              <w:right w:val="none" w:sz="0" w:space="0" w:color="auto"/>
            </w:tcBorders>
            <w:shd w:val="clear" w:color="auto" w:fill="25408F"/>
            <w:vAlign w:val="bottom"/>
          </w:tcPr>
          <w:p w14:paraId="72F0B876" w14:textId="54950869" w:rsidR="008F46B8" w:rsidRPr="00286C30" w:rsidRDefault="008F46B8" w:rsidP="008F46B8">
            <w:pPr>
              <w:pStyle w:val="TT-TableHeading"/>
              <w:rPr>
                <w:b w:val="0"/>
                <w:bCs/>
                <w:szCs w:val="20"/>
              </w:rPr>
            </w:pPr>
            <w:r w:rsidRPr="00CF0A51">
              <w:t>Key issue</w:t>
            </w:r>
          </w:p>
        </w:tc>
        <w:tc>
          <w:tcPr>
            <w:tcW w:w="1878" w:type="dxa"/>
            <w:tcBorders>
              <w:top w:val="none" w:sz="0" w:space="0" w:color="auto"/>
              <w:left w:val="none" w:sz="0" w:space="0" w:color="auto"/>
              <w:bottom w:val="none" w:sz="0" w:space="0" w:color="auto"/>
              <w:right w:val="none" w:sz="0" w:space="0" w:color="auto"/>
            </w:tcBorders>
            <w:shd w:val="clear" w:color="auto" w:fill="25408F"/>
            <w:vAlign w:val="bottom"/>
          </w:tcPr>
          <w:p w14:paraId="17E17E4E" w14:textId="19E046C2" w:rsidR="008F46B8" w:rsidRPr="00286C30" w:rsidRDefault="008F46B8" w:rsidP="008F46B8">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Areas of agreement</w:t>
            </w:r>
          </w:p>
        </w:tc>
        <w:tc>
          <w:tcPr>
            <w:tcW w:w="3719" w:type="dxa"/>
            <w:tcBorders>
              <w:top w:val="none" w:sz="0" w:space="0" w:color="auto"/>
              <w:left w:val="none" w:sz="0" w:space="0" w:color="auto"/>
              <w:bottom w:val="none" w:sz="0" w:space="0" w:color="auto"/>
              <w:right w:val="none" w:sz="0" w:space="0" w:color="auto"/>
            </w:tcBorders>
            <w:shd w:val="clear" w:color="auto" w:fill="25408F"/>
            <w:vAlign w:val="bottom"/>
          </w:tcPr>
          <w:p w14:paraId="40B73E7E" w14:textId="4BD3E424" w:rsidR="008F46B8" w:rsidRPr="00286C30" w:rsidRDefault="008F46B8" w:rsidP="008F46B8">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Areas of debate</w:t>
            </w:r>
          </w:p>
        </w:tc>
        <w:tc>
          <w:tcPr>
            <w:tcW w:w="1497" w:type="dxa"/>
            <w:tcBorders>
              <w:top w:val="none" w:sz="0" w:space="0" w:color="auto"/>
              <w:left w:val="none" w:sz="0" w:space="0" w:color="auto"/>
              <w:bottom w:val="none" w:sz="0" w:space="0" w:color="auto"/>
              <w:right w:val="none" w:sz="0" w:space="0" w:color="auto"/>
            </w:tcBorders>
            <w:shd w:val="clear" w:color="auto" w:fill="25408F"/>
            <w:vAlign w:val="bottom"/>
          </w:tcPr>
          <w:p w14:paraId="50E53E8A" w14:textId="38F0677A" w:rsidR="008F46B8" w:rsidRPr="00286C30" w:rsidRDefault="008F46B8" w:rsidP="008F46B8">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 xml:space="preserve">Would this require legislation or rulemaking? If so, what? </w:t>
            </w:r>
          </w:p>
        </w:tc>
        <w:tc>
          <w:tcPr>
            <w:tcW w:w="1449" w:type="dxa"/>
            <w:tcBorders>
              <w:top w:val="none" w:sz="0" w:space="0" w:color="auto"/>
              <w:left w:val="none" w:sz="0" w:space="0" w:color="auto"/>
              <w:bottom w:val="none" w:sz="0" w:space="0" w:color="auto"/>
              <w:right w:val="none" w:sz="0" w:space="0" w:color="auto"/>
            </w:tcBorders>
            <w:shd w:val="clear" w:color="auto" w:fill="25408F"/>
            <w:vAlign w:val="bottom"/>
          </w:tcPr>
          <w:p w14:paraId="059D1B03" w14:textId="1E00B228" w:rsidR="008F46B8" w:rsidRPr="00286C30" w:rsidRDefault="008F46B8" w:rsidP="008F46B8">
            <w:pPr>
              <w:pStyle w:val="TT-TableHeading"/>
              <w:cnfStyle w:val="100000000000" w:firstRow="1" w:lastRow="0" w:firstColumn="0" w:lastColumn="0" w:oddVBand="0" w:evenVBand="0" w:oddHBand="0" w:evenHBand="0" w:firstRowFirstColumn="0" w:firstRowLastColumn="0" w:lastRowFirstColumn="0" w:lastRowLastColumn="0"/>
              <w:rPr>
                <w:szCs w:val="20"/>
              </w:rPr>
            </w:pPr>
            <w:r w:rsidRPr="00CF0A51">
              <w:t>Could another process address?</w:t>
            </w:r>
          </w:p>
        </w:tc>
      </w:tr>
      <w:tr w:rsidR="00592032" w:rsidRPr="00286C30" w14:paraId="49741EF9" w14:textId="77777777" w:rsidTr="008F46B8">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598" w:type="dxa"/>
          </w:tcPr>
          <w:p w14:paraId="6F18535A" w14:textId="77777777" w:rsidR="00592032" w:rsidRPr="00286C30" w:rsidRDefault="00592032" w:rsidP="00E83C9E">
            <w:pPr>
              <w:rPr>
                <w:sz w:val="20"/>
                <w:szCs w:val="20"/>
              </w:rPr>
            </w:pPr>
            <w:r w:rsidRPr="00286C30">
              <w:rPr>
                <w:sz w:val="20"/>
                <w:szCs w:val="20"/>
              </w:rPr>
              <w:t xml:space="preserve">Load Management (LM) Program Purpose </w:t>
            </w:r>
          </w:p>
        </w:tc>
        <w:tc>
          <w:tcPr>
            <w:tcW w:w="1878" w:type="dxa"/>
          </w:tcPr>
          <w:p w14:paraId="13428CD3" w14:textId="48849E34"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 xml:space="preserve">The original purpose of Energy efficiency programs was to </w:t>
            </w:r>
            <w:r w:rsidR="00BC68E2" w:rsidRPr="00286C30">
              <w:rPr>
                <w:sz w:val="20"/>
                <w:szCs w:val="20"/>
              </w:rPr>
              <w:t>incentivize behaviors and equipment that would not otherwise move forward at the individual level for a public benefit.</w:t>
            </w:r>
          </w:p>
        </w:tc>
        <w:tc>
          <w:tcPr>
            <w:tcW w:w="3719" w:type="dxa"/>
          </w:tcPr>
          <w:p w14:paraId="7B212821" w14:textId="77777777"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Perspective 1: The purpose of DR programs is to add resiliency to the grid and help ERCOT out with load management. Bundled utilities also use for these needs.</w:t>
            </w:r>
          </w:p>
          <w:p w14:paraId="1B8E0AAF" w14:textId="77777777"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Perspective 2: Some Commercial customers have been participating in the utility load management programs for a decade, they know the drill and should be moving over to the ERS program whereas new participants could be introduced to LM through the utility programs.</w:t>
            </w:r>
          </w:p>
          <w:p w14:paraId="36E3C4E7" w14:textId="77777777"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Perspective 3: There should be consistency between utility  programs so one residential customer isn’t at a disadvantage based on which service territory they live in.</w:t>
            </w:r>
          </w:p>
          <w:p w14:paraId="3E6F4FAA" w14:textId="56AC2357" w:rsidR="00592032" w:rsidRPr="00286C30" w:rsidRDefault="00592032" w:rsidP="00A529D2">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 xml:space="preserve">Perspective 4: It is important to tie the incentive for the device and taking the behavioral step to install the device and participate in the program together. </w:t>
            </w:r>
          </w:p>
        </w:tc>
        <w:tc>
          <w:tcPr>
            <w:tcW w:w="1497" w:type="dxa"/>
          </w:tcPr>
          <w:p w14:paraId="4F4FF21A" w14:textId="7BF338F9"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w:t>
            </w:r>
            <w:r w:rsidR="004A570A">
              <w:rPr>
                <w:sz w:val="20"/>
                <w:szCs w:val="20"/>
              </w:rPr>
              <w:t>16 TAC §25.181</w:t>
            </w:r>
            <w:r w:rsidRPr="00286C30">
              <w:rPr>
                <w:sz w:val="20"/>
                <w:szCs w:val="20"/>
              </w:rPr>
              <w:t>(a) (1)(2)(3)</w:t>
            </w:r>
          </w:p>
        </w:tc>
        <w:tc>
          <w:tcPr>
            <w:tcW w:w="1449" w:type="dxa"/>
          </w:tcPr>
          <w:p w14:paraId="4907C096" w14:textId="77777777"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p>
        </w:tc>
      </w:tr>
      <w:tr w:rsidR="00592032" w:rsidRPr="00286C30" w14:paraId="3F30168A" w14:textId="77777777" w:rsidTr="008F46B8">
        <w:trPr>
          <w:trHeight w:val="253"/>
        </w:trPr>
        <w:tc>
          <w:tcPr>
            <w:cnfStyle w:val="001000000000" w:firstRow="0" w:lastRow="0" w:firstColumn="1" w:lastColumn="0" w:oddVBand="0" w:evenVBand="0" w:oddHBand="0" w:evenHBand="0" w:firstRowFirstColumn="0" w:firstRowLastColumn="0" w:lastRowFirstColumn="0" w:lastRowLastColumn="0"/>
            <w:tcW w:w="1598" w:type="dxa"/>
          </w:tcPr>
          <w:p w14:paraId="06D50031" w14:textId="77777777" w:rsidR="00592032" w:rsidRPr="00286C30" w:rsidRDefault="00592032" w:rsidP="008F46B8">
            <w:pPr>
              <w:keepNext/>
              <w:keepLines/>
              <w:rPr>
                <w:sz w:val="20"/>
                <w:szCs w:val="20"/>
              </w:rPr>
            </w:pPr>
            <w:r w:rsidRPr="00286C30">
              <w:rPr>
                <w:sz w:val="20"/>
                <w:szCs w:val="20"/>
              </w:rPr>
              <w:t>Demand Response Coordination</w:t>
            </w:r>
          </w:p>
        </w:tc>
        <w:tc>
          <w:tcPr>
            <w:tcW w:w="1878" w:type="dxa"/>
          </w:tcPr>
          <w:p w14:paraId="34750116" w14:textId="501F055D"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 xml:space="preserve">There are opportunities for more coordination between stakeholders: </w:t>
            </w:r>
            <w:r w:rsidR="00D20059">
              <w:rPr>
                <w:sz w:val="20"/>
                <w:szCs w:val="20"/>
              </w:rPr>
              <w:t>IOU</w:t>
            </w:r>
            <w:r w:rsidRPr="00286C30">
              <w:rPr>
                <w:sz w:val="20"/>
                <w:szCs w:val="20"/>
              </w:rPr>
              <w:t>s, Reps, ER</w:t>
            </w:r>
            <w:r w:rsidR="00D20059">
              <w:rPr>
                <w:sz w:val="20"/>
                <w:szCs w:val="20"/>
              </w:rPr>
              <w:t>COT</w:t>
            </w:r>
            <w:r w:rsidRPr="00286C30">
              <w:rPr>
                <w:sz w:val="20"/>
                <w:szCs w:val="20"/>
              </w:rPr>
              <w:t>, Implementors and Advocacy groups, energy efficiency programs.</w:t>
            </w:r>
          </w:p>
        </w:tc>
        <w:tc>
          <w:tcPr>
            <w:tcW w:w="3719" w:type="dxa"/>
          </w:tcPr>
          <w:p w14:paraId="07B7860F"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Perspective 1: More coordination can be done with REPs.</w:t>
            </w:r>
          </w:p>
          <w:p w14:paraId="2C40506A"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Perspective 2: Messaging demand response to Texans hasn’t been done well. People outside the industry do not understand what DR is and why it's important. A Statewide campaign may be needed.</w:t>
            </w:r>
          </w:p>
          <w:p w14:paraId="1CEDFE76"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Perspective 3: Incentives work the best to motivate behavior change, marketing doesn’t.</w:t>
            </w:r>
          </w:p>
          <w:p w14:paraId="683125B0"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Perspective 4: You must partner EE and DR. You cannot install a smart thermostat and expect demand reductions if their house/building isn’t energy efficient.</w:t>
            </w:r>
          </w:p>
        </w:tc>
        <w:tc>
          <w:tcPr>
            <w:tcW w:w="1497" w:type="dxa"/>
          </w:tcPr>
          <w:p w14:paraId="407FAF92" w14:textId="1FC43FE6"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 xml:space="preserve">§ </w:t>
            </w:r>
            <w:r w:rsidR="004A570A">
              <w:rPr>
                <w:sz w:val="20"/>
                <w:szCs w:val="20"/>
              </w:rPr>
              <w:t>16 TAC §25.181</w:t>
            </w:r>
            <w:r w:rsidRPr="00286C30">
              <w:rPr>
                <w:sz w:val="20"/>
                <w:szCs w:val="20"/>
              </w:rPr>
              <w:t>(g)(5)(A)(B)(C)</w:t>
            </w:r>
          </w:p>
          <w:p w14:paraId="7D7F5DAF"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c>
          <w:tcPr>
            <w:tcW w:w="1449" w:type="dxa"/>
          </w:tcPr>
          <w:p w14:paraId="1A3A0720"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r>
      <w:tr w:rsidR="00592032" w:rsidRPr="00286C30" w14:paraId="649A0145" w14:textId="77777777" w:rsidTr="008F46B8">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598" w:type="dxa"/>
          </w:tcPr>
          <w:p w14:paraId="32DD83A6" w14:textId="77777777" w:rsidR="00592032" w:rsidRPr="00286C30" w:rsidRDefault="00592032" w:rsidP="00E83C9E">
            <w:pPr>
              <w:rPr>
                <w:sz w:val="20"/>
                <w:szCs w:val="20"/>
              </w:rPr>
            </w:pPr>
            <w:r w:rsidRPr="00286C30">
              <w:rPr>
                <w:sz w:val="20"/>
                <w:szCs w:val="20"/>
              </w:rPr>
              <w:t xml:space="preserve">Goal Contribution </w:t>
            </w:r>
          </w:p>
        </w:tc>
        <w:tc>
          <w:tcPr>
            <w:tcW w:w="1878" w:type="dxa"/>
          </w:tcPr>
          <w:p w14:paraId="77105723" w14:textId="77777777"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Demand Response programs play an important role in reducing both Winter and Summer peak demand.</w:t>
            </w:r>
          </w:p>
        </w:tc>
        <w:tc>
          <w:tcPr>
            <w:tcW w:w="3719" w:type="dxa"/>
          </w:tcPr>
          <w:p w14:paraId="48EBBFC4" w14:textId="77777777"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Perspective 1: Cost Caps can be a hindrance in increasing or decreasing demand response programs through energy efficiency portfolios.</w:t>
            </w:r>
          </w:p>
          <w:p w14:paraId="0E41894A" w14:textId="77777777"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 xml:space="preserve">Perspective 2: Any changes in goals need to carefully consider the role DR has historically played in meeting goals. </w:t>
            </w:r>
          </w:p>
          <w:p w14:paraId="45C1C92E" w14:textId="77777777"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 xml:space="preserve">Perspective 3: A separate DR goal would add complexity for administration. A single peak kW goal makes it easier. </w:t>
            </w:r>
          </w:p>
          <w:p w14:paraId="2C83E71B" w14:textId="77777777"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Perspective 4: Putting a Cap on how much of the total EE savings goal can come from DR may be preferable than a separate goal.</w:t>
            </w:r>
          </w:p>
          <w:p w14:paraId="1FDB280F" w14:textId="51D1A791"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Perspective 5: We need to establish goals that are right for the service territory. We need a series of goals that sets a high standard but doesn’t put an unnecessary burden on some utilities given a certain service territory. This is supported by §</w:t>
            </w:r>
            <w:r w:rsidR="004A570A">
              <w:rPr>
                <w:sz w:val="20"/>
                <w:szCs w:val="20"/>
              </w:rPr>
              <w:t>16 TAC §25.181</w:t>
            </w:r>
            <w:r w:rsidRPr="00286C30">
              <w:rPr>
                <w:sz w:val="20"/>
                <w:szCs w:val="20"/>
              </w:rPr>
              <w:t>(e)(2)</w:t>
            </w:r>
          </w:p>
        </w:tc>
        <w:tc>
          <w:tcPr>
            <w:tcW w:w="1497" w:type="dxa"/>
          </w:tcPr>
          <w:p w14:paraId="359C7C59" w14:textId="38B1CF90"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rPr>
              <w:t>§</w:t>
            </w:r>
            <w:r w:rsidR="004A570A">
              <w:rPr>
                <w:sz w:val="20"/>
                <w:szCs w:val="20"/>
              </w:rPr>
              <w:t>16 TAC §25.181</w:t>
            </w:r>
            <w:r w:rsidRPr="00286C30">
              <w:rPr>
                <w:sz w:val="20"/>
                <w:szCs w:val="20"/>
              </w:rPr>
              <w:t>(e)(1)(3)4)</w:t>
            </w:r>
          </w:p>
          <w:p w14:paraId="4F5B4550" w14:textId="77777777"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p>
          <w:p w14:paraId="7B7EE5E0" w14:textId="77777777"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p>
        </w:tc>
        <w:tc>
          <w:tcPr>
            <w:tcW w:w="1449" w:type="dxa"/>
          </w:tcPr>
          <w:p w14:paraId="4E45BE15" w14:textId="77777777" w:rsidR="00592032" w:rsidRPr="00286C30" w:rsidRDefault="00592032" w:rsidP="00E83C9E">
            <w:pPr>
              <w:cnfStyle w:val="000000100000" w:firstRow="0" w:lastRow="0" w:firstColumn="0" w:lastColumn="0" w:oddVBand="0" w:evenVBand="0" w:oddHBand="1" w:evenHBand="0" w:firstRowFirstColumn="0" w:firstRowLastColumn="0" w:lastRowFirstColumn="0" w:lastRowLastColumn="0"/>
              <w:rPr>
                <w:sz w:val="20"/>
                <w:szCs w:val="20"/>
              </w:rPr>
            </w:pPr>
          </w:p>
        </w:tc>
      </w:tr>
      <w:tr w:rsidR="00592032" w:rsidRPr="00286C30" w14:paraId="3A0C5590" w14:textId="77777777" w:rsidTr="008F46B8">
        <w:trPr>
          <w:trHeight w:val="268"/>
        </w:trPr>
        <w:tc>
          <w:tcPr>
            <w:cnfStyle w:val="001000000000" w:firstRow="0" w:lastRow="0" w:firstColumn="1" w:lastColumn="0" w:oddVBand="0" w:evenVBand="0" w:oddHBand="0" w:evenHBand="0" w:firstRowFirstColumn="0" w:firstRowLastColumn="0" w:lastRowFirstColumn="0" w:lastRowLastColumn="0"/>
            <w:tcW w:w="1598" w:type="dxa"/>
          </w:tcPr>
          <w:p w14:paraId="032FA583" w14:textId="77777777" w:rsidR="00592032" w:rsidRPr="00286C30" w:rsidRDefault="00592032" w:rsidP="008F46B8">
            <w:pPr>
              <w:keepNext/>
              <w:keepLines/>
              <w:rPr>
                <w:sz w:val="20"/>
                <w:szCs w:val="20"/>
              </w:rPr>
            </w:pPr>
            <w:r w:rsidRPr="00286C30">
              <w:rPr>
                <w:sz w:val="20"/>
                <w:szCs w:val="20"/>
              </w:rPr>
              <w:t>Use of LM Programs</w:t>
            </w:r>
          </w:p>
        </w:tc>
        <w:tc>
          <w:tcPr>
            <w:tcW w:w="1878" w:type="dxa"/>
          </w:tcPr>
          <w:p w14:paraId="55ED4637"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 xml:space="preserve">Load Management programs offer flexibility to a stressed grid. </w:t>
            </w:r>
          </w:p>
          <w:p w14:paraId="72170801"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Demand Response provides non-wire alternatives to the grid.</w:t>
            </w:r>
          </w:p>
          <w:p w14:paraId="6C8E04D2"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More integration with DERs is needed</w:t>
            </w:r>
          </w:p>
        </w:tc>
        <w:tc>
          <w:tcPr>
            <w:tcW w:w="3719" w:type="dxa"/>
          </w:tcPr>
          <w:p w14:paraId="1F5BE2C1"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Perspective 1: Using these programs to address congested feeders is an option, incorporating more Geo-targeting.</w:t>
            </w:r>
          </w:p>
          <w:p w14:paraId="3ADD5BE3"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Perspective 2: Electric vehicles may end up being extremely beneficial to DR programs. We need to keep this on the radar as the technology is developed and deployed as this can provide flexibility to the grid.</w:t>
            </w:r>
          </w:p>
          <w:p w14:paraId="7AE605CC"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Perspective 3: There is potential to incentivize back up services like battery storage etc. to help provide even more grid flexibility for longer durations.</w:t>
            </w:r>
          </w:p>
          <w:p w14:paraId="79462F73"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Perspective 4: Limit the years a commercial customer can participate in the EE demand response programs to encourage the experienced participants move to the ERS program.</w:t>
            </w:r>
          </w:p>
        </w:tc>
        <w:tc>
          <w:tcPr>
            <w:tcW w:w="1497" w:type="dxa"/>
          </w:tcPr>
          <w:p w14:paraId="149745C4" w14:textId="4E261D8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rPr>
              <w:t xml:space="preserve">§ </w:t>
            </w:r>
            <w:r w:rsidR="004A570A">
              <w:rPr>
                <w:sz w:val="20"/>
                <w:szCs w:val="20"/>
              </w:rPr>
              <w:t>16 TAC §25.181</w:t>
            </w:r>
            <w:r w:rsidRPr="00286C30">
              <w:rPr>
                <w:sz w:val="20"/>
                <w:szCs w:val="20"/>
              </w:rPr>
              <w:t>(e)(5)</w:t>
            </w:r>
          </w:p>
          <w:p w14:paraId="0A5C34C4"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c>
          <w:tcPr>
            <w:tcW w:w="1449" w:type="dxa"/>
          </w:tcPr>
          <w:p w14:paraId="0E60FE66" w14:textId="77777777" w:rsidR="00592032" w:rsidRPr="00286C30" w:rsidRDefault="00592032"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r>
    </w:tbl>
    <w:p w14:paraId="56FA22AE" w14:textId="74E4AB6F" w:rsidR="0079164E" w:rsidRDefault="0079164E" w:rsidP="0079164E">
      <w:pPr>
        <w:pStyle w:val="Heading3"/>
      </w:pPr>
      <w:r w:rsidRPr="008E2860">
        <w:t xml:space="preserve">Session </w:t>
      </w:r>
      <w:r>
        <w:t>2</w:t>
      </w:r>
      <w:r w:rsidRPr="008E2860">
        <w:t xml:space="preserve"> </w:t>
      </w:r>
      <w:r>
        <w:t>February 8th</w:t>
      </w:r>
      <w:r w:rsidRPr="008E2860">
        <w:t>, 2023</w:t>
      </w:r>
      <w:r>
        <w:t>—Best Practices Discussion</w:t>
      </w:r>
    </w:p>
    <w:p w14:paraId="49320185" w14:textId="77777777" w:rsidR="008B132F" w:rsidRPr="008E2860" w:rsidRDefault="008B132F" w:rsidP="008B132F">
      <w:r>
        <w:t xml:space="preserve">The table below summarizes the best practices identified for demand response programs and the various perspectives expressed.   </w:t>
      </w:r>
    </w:p>
    <w:tbl>
      <w:tblPr>
        <w:tblStyle w:val="GridTable4-Accent5"/>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425"/>
        <w:gridCol w:w="7285"/>
      </w:tblGrid>
      <w:tr w:rsidR="008B132F" w:rsidRPr="00286C30" w14:paraId="00B392B2" w14:textId="77777777" w:rsidTr="008F46B8">
        <w:trPr>
          <w:cnfStyle w:val="100000000000" w:firstRow="1" w:lastRow="0" w:firstColumn="0" w:lastColumn="0" w:oddVBand="0" w:evenVBand="0" w:oddHBand="0" w:evenHBand="0" w:firstRowFirstColumn="0" w:firstRowLastColumn="0" w:lastRowFirstColumn="0" w:lastRowLastColumn="0"/>
          <w:trHeight w:val="29"/>
          <w:tblHeader/>
        </w:trPr>
        <w:tc>
          <w:tcPr>
            <w:cnfStyle w:val="001000000000" w:firstRow="0" w:lastRow="0" w:firstColumn="1" w:lastColumn="0" w:oddVBand="0" w:evenVBand="0" w:oddHBand="0" w:evenHBand="0" w:firstRowFirstColumn="0" w:firstRowLastColumn="0" w:lastRowFirstColumn="0" w:lastRowLastColumn="0"/>
            <w:tcW w:w="2425" w:type="dxa"/>
            <w:tcBorders>
              <w:top w:val="none" w:sz="0" w:space="0" w:color="auto"/>
              <w:left w:val="none" w:sz="0" w:space="0" w:color="auto"/>
              <w:bottom w:val="none" w:sz="0" w:space="0" w:color="auto"/>
              <w:right w:val="none" w:sz="0" w:space="0" w:color="auto"/>
            </w:tcBorders>
            <w:shd w:val="clear" w:color="auto" w:fill="25408F"/>
          </w:tcPr>
          <w:p w14:paraId="1E7131E5" w14:textId="19CCBC48" w:rsidR="008B132F" w:rsidRPr="00286C30" w:rsidRDefault="008F46B8" w:rsidP="008F46B8">
            <w:pPr>
              <w:pStyle w:val="TT-TableHeading"/>
            </w:pPr>
            <w:r w:rsidRPr="00286C30">
              <w:t>Best practice</w:t>
            </w:r>
          </w:p>
        </w:tc>
        <w:tc>
          <w:tcPr>
            <w:tcW w:w="7285" w:type="dxa"/>
            <w:tcBorders>
              <w:top w:val="none" w:sz="0" w:space="0" w:color="auto"/>
              <w:left w:val="none" w:sz="0" w:space="0" w:color="auto"/>
              <w:bottom w:val="none" w:sz="0" w:space="0" w:color="auto"/>
              <w:right w:val="none" w:sz="0" w:space="0" w:color="auto"/>
            </w:tcBorders>
            <w:shd w:val="clear" w:color="auto" w:fill="25408F"/>
          </w:tcPr>
          <w:p w14:paraId="7793EB37" w14:textId="1D090F0B" w:rsidR="008B132F" w:rsidRPr="00286C30" w:rsidRDefault="008F46B8" w:rsidP="008F46B8">
            <w:pPr>
              <w:pStyle w:val="TT-TableHeading"/>
              <w:cnfStyle w:val="100000000000" w:firstRow="1" w:lastRow="0" w:firstColumn="0" w:lastColumn="0" w:oddVBand="0" w:evenVBand="0" w:oddHBand="0" w:evenHBand="0" w:firstRowFirstColumn="0" w:firstRowLastColumn="0" w:lastRowFirstColumn="0" w:lastRowLastColumn="0"/>
            </w:pPr>
            <w:r w:rsidRPr="00286C30">
              <w:t>Perspectives/ideas captured</w:t>
            </w:r>
          </w:p>
        </w:tc>
      </w:tr>
      <w:tr w:rsidR="008B132F" w:rsidRPr="00286C30" w14:paraId="6F0C7C5E" w14:textId="77777777" w:rsidTr="008F46B8">
        <w:trPr>
          <w:cnfStyle w:val="000000100000" w:firstRow="0" w:lastRow="0" w:firstColumn="0" w:lastColumn="0" w:oddVBand="0" w:evenVBand="0" w:oddHBand="1" w:evenHBand="0" w:firstRowFirstColumn="0" w:firstRowLastColumn="0" w:lastRowFirstColumn="0" w:lastRowLastColumn="0"/>
          <w:trHeight w:val="28"/>
        </w:trPr>
        <w:tc>
          <w:tcPr>
            <w:cnfStyle w:val="001000000000" w:firstRow="0" w:lastRow="0" w:firstColumn="1" w:lastColumn="0" w:oddVBand="0" w:evenVBand="0" w:oddHBand="0" w:evenHBand="0" w:firstRowFirstColumn="0" w:firstRowLastColumn="0" w:lastRowFirstColumn="0" w:lastRowLastColumn="0"/>
            <w:tcW w:w="2425" w:type="dxa"/>
          </w:tcPr>
          <w:p w14:paraId="040F77EE" w14:textId="77777777" w:rsidR="008B132F" w:rsidRPr="00286C30" w:rsidRDefault="008B132F" w:rsidP="00B55548">
            <w:pPr>
              <w:rPr>
                <w:sz w:val="20"/>
                <w:szCs w:val="20"/>
              </w:rPr>
            </w:pPr>
            <w:r w:rsidRPr="00286C30">
              <w:rPr>
                <w:sz w:val="20"/>
                <w:szCs w:val="20"/>
              </w:rPr>
              <w:t xml:space="preserve">Focus on the customer by providing tangible value and multiple paths to participation for a “Big tent” approach </w:t>
            </w:r>
          </w:p>
          <w:p w14:paraId="6078A0F4" w14:textId="77777777" w:rsidR="008B132F" w:rsidRPr="00286C30" w:rsidRDefault="008B132F" w:rsidP="00B55548">
            <w:pPr>
              <w:rPr>
                <w:b w:val="0"/>
                <w:bCs w:val="0"/>
                <w:sz w:val="20"/>
                <w:szCs w:val="20"/>
              </w:rPr>
            </w:pPr>
          </w:p>
        </w:tc>
        <w:tc>
          <w:tcPr>
            <w:tcW w:w="7285" w:type="dxa"/>
          </w:tcPr>
          <w:p w14:paraId="0EC39E86" w14:textId="77777777" w:rsidR="008B132F" w:rsidRPr="00286C30" w:rsidRDefault="008B132F" w:rsidP="00B55548">
            <w:pPr>
              <w:pStyle w:val="ListParagraph"/>
              <w:ind w:left="0"/>
              <w:cnfStyle w:val="000000100000" w:firstRow="0" w:lastRow="0" w:firstColumn="0" w:lastColumn="0" w:oddVBand="0" w:evenVBand="0" w:oddHBand="1" w:evenHBand="0" w:firstRowFirstColumn="0" w:firstRowLastColumn="0" w:lastRowFirstColumn="0" w:lastRowLastColumn="0"/>
              <w:rPr>
                <w:rFonts w:ascii="Arial" w:eastAsia="Calibri" w:hAnsi="Arial" w:cs="Arial"/>
                <w:i/>
                <w:iCs/>
                <w:sz w:val="20"/>
                <w:szCs w:val="20"/>
              </w:rPr>
            </w:pPr>
            <w:r w:rsidRPr="00286C30">
              <w:rPr>
                <w:rFonts w:ascii="Arial" w:hAnsi="Arial" w:cs="Arial"/>
                <w:sz w:val="20"/>
                <w:szCs w:val="20"/>
                <w:u w:val="single"/>
              </w:rPr>
              <w:t xml:space="preserve">Perspective 1: </w:t>
            </w:r>
            <w:r w:rsidRPr="00286C30">
              <w:rPr>
                <w:rFonts w:ascii="Arial" w:hAnsi="Arial" w:cs="Arial"/>
                <w:sz w:val="20"/>
                <w:szCs w:val="20"/>
              </w:rPr>
              <w:t xml:space="preserve">Stakeholders voiced it was important to note the </w:t>
            </w:r>
            <w:r w:rsidRPr="009528C9">
              <w:rPr>
                <w:rFonts w:ascii="Arial" w:eastAsia="Calibri" w:hAnsi="Arial" w:cs="Arial"/>
                <w:sz w:val="20"/>
                <w:szCs w:val="20"/>
              </w:rPr>
              <w:t>original intent and purpose of these programs were to develop energy efficiency options for customers that were not yet readily available in the market or for which additional financial assistance (e.g., low-income programs) was needed.</w:t>
            </w:r>
          </w:p>
          <w:p w14:paraId="01A521CC" w14:textId="77777777" w:rsidR="008B132F" w:rsidRPr="00286C30" w:rsidRDefault="008B132F" w:rsidP="00B55548">
            <w:pPr>
              <w:cnfStyle w:val="000000100000" w:firstRow="0" w:lastRow="0" w:firstColumn="0" w:lastColumn="0" w:oddVBand="0" w:evenVBand="0" w:oddHBand="1" w:evenHBand="0" w:firstRowFirstColumn="0" w:firstRowLastColumn="0" w:lastRowFirstColumn="0" w:lastRowLastColumn="0"/>
              <w:rPr>
                <w:sz w:val="20"/>
                <w:szCs w:val="20"/>
              </w:rPr>
            </w:pPr>
          </w:p>
          <w:p w14:paraId="370E3B8B" w14:textId="77777777" w:rsidR="008B132F" w:rsidRPr="00286C30" w:rsidRDefault="008B132F" w:rsidP="00B55548">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Perspective 2 Keep participation path simple:</w:t>
            </w:r>
            <w:r w:rsidRPr="00286C30">
              <w:rPr>
                <w:sz w:val="20"/>
                <w:szCs w:val="20"/>
              </w:rPr>
              <w:t xml:space="preserve"> Example given of utility has an EE rebate for smart thermostats, a DR enrollment incentive along with a bring your own thermostat program. They market the program on their utility marketplace where a customer can get both incentives at the same time. </w:t>
            </w:r>
          </w:p>
          <w:p w14:paraId="353EBC64" w14:textId="77777777" w:rsidR="008B132F" w:rsidRPr="00286C30" w:rsidRDefault="008B132F" w:rsidP="00B55548">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Perspective 3: Build on smart thermostats while exploring other technologies.</w:t>
            </w:r>
            <w:r w:rsidRPr="00286C30">
              <w:rPr>
                <w:sz w:val="20"/>
                <w:szCs w:val="20"/>
              </w:rPr>
              <w:t xml:space="preserve"> Simplistic program design examples are plentiful for smart thermostats, but other technologies like smart water heaters are a bit behind and it may be harder to market these technologies over a utility marketplace.</w:t>
            </w:r>
          </w:p>
          <w:p w14:paraId="768939BE" w14:textId="6AA206C5" w:rsidR="008B132F" w:rsidRPr="00286C30" w:rsidRDefault="008B132F" w:rsidP="00B55548">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Perspective 4: Coordinating programs through REPs</w:t>
            </w:r>
            <w:r w:rsidRPr="00286C30">
              <w:rPr>
                <w:sz w:val="20"/>
                <w:szCs w:val="20"/>
              </w:rPr>
              <w:t xml:space="preserve">, customers who sign up get a free or reduced-price thermostat. The customer does not even need to know the money came from the </w:t>
            </w:r>
            <w:r w:rsidR="00D20059">
              <w:rPr>
                <w:sz w:val="20"/>
                <w:szCs w:val="20"/>
              </w:rPr>
              <w:t>IOU</w:t>
            </w:r>
            <w:r w:rsidRPr="00286C30">
              <w:rPr>
                <w:sz w:val="20"/>
                <w:szCs w:val="20"/>
              </w:rPr>
              <w:t xml:space="preserve"> program. This may broaden the reach to customers that are not just early adopters.</w:t>
            </w:r>
          </w:p>
          <w:p w14:paraId="06C191E9" w14:textId="77777777" w:rsidR="008B132F" w:rsidRPr="00286C30" w:rsidRDefault="008B132F" w:rsidP="00B55548">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 xml:space="preserve">Perspective 5: Emerging Theme –consistency and flexibility in program designs </w:t>
            </w:r>
            <w:r w:rsidRPr="00286C30">
              <w:rPr>
                <w:sz w:val="20"/>
                <w:szCs w:val="20"/>
              </w:rPr>
              <w:t>to meet the needs of customers and evaluations.</w:t>
            </w:r>
          </w:p>
          <w:p w14:paraId="6F857CAA" w14:textId="2EB4E4AD" w:rsidR="008B132F" w:rsidRPr="00286C30" w:rsidRDefault="008B132F" w:rsidP="009528C9">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Perspective 6: Adding clarity around customer types would be helpful.</w:t>
            </w:r>
            <w:r w:rsidRPr="00286C30">
              <w:rPr>
                <w:sz w:val="20"/>
                <w:szCs w:val="20"/>
              </w:rPr>
              <w:t xml:space="preserve"> For example, large commercial, industrial, mid commercial can benefit on their own, while aggregating residential and small business efforts there is untapped potential, but the economics are not as clear. Targeting these customers using rate payer funds seems appropriate.</w:t>
            </w:r>
          </w:p>
        </w:tc>
      </w:tr>
      <w:tr w:rsidR="008F46B8" w:rsidRPr="00286C30" w14:paraId="1A93D516" w14:textId="77777777" w:rsidTr="008F46B8">
        <w:trPr>
          <w:trHeight w:val="150"/>
        </w:trPr>
        <w:tc>
          <w:tcPr>
            <w:cnfStyle w:val="001000000000" w:firstRow="0" w:lastRow="0" w:firstColumn="1" w:lastColumn="0" w:oddVBand="0" w:evenVBand="0" w:oddHBand="0" w:evenHBand="0" w:firstRowFirstColumn="0" w:firstRowLastColumn="0" w:lastRowFirstColumn="0" w:lastRowLastColumn="0"/>
            <w:tcW w:w="2425" w:type="dxa"/>
            <w:shd w:val="clear" w:color="auto" w:fill="25408F"/>
          </w:tcPr>
          <w:p w14:paraId="3A5B6680" w14:textId="11422092" w:rsidR="008F46B8" w:rsidRPr="00286C30" w:rsidRDefault="008F46B8" w:rsidP="008F46B8">
            <w:pPr>
              <w:pStyle w:val="TT-TableHeading"/>
            </w:pPr>
            <w:r w:rsidRPr="00286C30">
              <w:t>Best practice</w:t>
            </w:r>
          </w:p>
        </w:tc>
        <w:tc>
          <w:tcPr>
            <w:tcW w:w="7285" w:type="dxa"/>
            <w:shd w:val="clear" w:color="auto" w:fill="25408F"/>
          </w:tcPr>
          <w:p w14:paraId="5F78063A" w14:textId="30E84A9F" w:rsidR="008F46B8" w:rsidRPr="00286C30" w:rsidRDefault="008F46B8" w:rsidP="008F46B8">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286C30">
              <w:t>Perspectives/ideas captured</w:t>
            </w:r>
          </w:p>
        </w:tc>
      </w:tr>
      <w:tr w:rsidR="008B132F" w:rsidRPr="00286C30" w14:paraId="4A2A1B17" w14:textId="77777777" w:rsidTr="008F46B8">
        <w:trPr>
          <w:cnfStyle w:val="000000100000" w:firstRow="0" w:lastRow="0" w:firstColumn="0" w:lastColumn="0" w:oddVBand="0" w:evenVBand="0" w:oddHBand="1" w:evenHBand="0" w:firstRowFirstColumn="0" w:firstRowLastColumn="0" w:lastRowFirstColumn="0" w:lastRowLastColumn="0"/>
          <w:trHeight w:val="150"/>
        </w:trPr>
        <w:tc>
          <w:tcPr>
            <w:cnfStyle w:val="001000000000" w:firstRow="0" w:lastRow="0" w:firstColumn="1" w:lastColumn="0" w:oddVBand="0" w:evenVBand="0" w:oddHBand="0" w:evenHBand="0" w:firstRowFirstColumn="0" w:firstRowLastColumn="0" w:lastRowFirstColumn="0" w:lastRowLastColumn="0"/>
            <w:tcW w:w="2425" w:type="dxa"/>
            <w:shd w:val="clear" w:color="auto" w:fill="auto"/>
          </w:tcPr>
          <w:p w14:paraId="4D0C10AB" w14:textId="77777777" w:rsidR="008B132F" w:rsidRPr="00286C30" w:rsidRDefault="008B132F" w:rsidP="00B55548">
            <w:pPr>
              <w:rPr>
                <w:sz w:val="20"/>
                <w:szCs w:val="20"/>
              </w:rPr>
            </w:pPr>
            <w:r w:rsidRPr="00286C30">
              <w:rPr>
                <w:sz w:val="20"/>
                <w:szCs w:val="20"/>
              </w:rPr>
              <w:t>Integrates EE and DR when feasible</w:t>
            </w:r>
          </w:p>
          <w:p w14:paraId="62E846F6" w14:textId="77777777" w:rsidR="008B132F" w:rsidRPr="00286C30" w:rsidRDefault="008B132F" w:rsidP="00B55548">
            <w:pPr>
              <w:rPr>
                <w:sz w:val="20"/>
                <w:szCs w:val="20"/>
              </w:rPr>
            </w:pPr>
          </w:p>
        </w:tc>
        <w:tc>
          <w:tcPr>
            <w:tcW w:w="7285" w:type="dxa"/>
            <w:shd w:val="clear" w:color="auto" w:fill="auto"/>
          </w:tcPr>
          <w:p w14:paraId="03F73937" w14:textId="77777777" w:rsidR="008B132F" w:rsidRPr="00286C30" w:rsidRDefault="008B132F" w:rsidP="00B55548">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Perspective 1: For residential customers, understanding the readiness of the customer’s home to install a smart device and participate in a DR program is important.</w:t>
            </w:r>
            <w:r w:rsidRPr="00286C30">
              <w:rPr>
                <w:sz w:val="20"/>
                <w:szCs w:val="20"/>
              </w:rPr>
              <w:t xml:space="preserve"> Some homes will need an audit, weatherization, or other EE upgrades before DR is beneficial to them and the grid.</w:t>
            </w:r>
          </w:p>
          <w:p w14:paraId="3854554C" w14:textId="77777777" w:rsidR="008B132F" w:rsidRPr="00286C30" w:rsidRDefault="008B132F" w:rsidP="00B55548">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Perspective 2: For Commercial Customers, using controls and software programs through Strategic Energy Management (SEM) programs should be explored.</w:t>
            </w:r>
            <w:r w:rsidRPr="00286C30">
              <w:rPr>
                <w:sz w:val="20"/>
                <w:szCs w:val="20"/>
              </w:rPr>
              <w:t xml:space="preserve"> It was discussed that one can work with Vendors to integrate DR as they are automating responses to shave peaks daily in some cases. Bringing DR and EE program staff together to discuss how each program can contribute to help incentivize those controls/software measures is important.</w:t>
            </w:r>
          </w:p>
          <w:p w14:paraId="6FF2A17D" w14:textId="77777777" w:rsidR="008B132F" w:rsidRPr="00286C30" w:rsidRDefault="008B132F" w:rsidP="00B55548">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 xml:space="preserve">Perspective 3: Keeping programs simple is most important for adoption. </w:t>
            </w:r>
            <w:r w:rsidRPr="00286C30">
              <w:rPr>
                <w:sz w:val="20"/>
                <w:szCs w:val="20"/>
              </w:rPr>
              <w:t>This viewpoint cautions against requiring weatherization as it could crush the program participation unless budgets are drastically increased.</w:t>
            </w:r>
          </w:p>
        </w:tc>
      </w:tr>
      <w:tr w:rsidR="008F46B8" w:rsidRPr="00286C30" w14:paraId="57AE954D" w14:textId="77777777" w:rsidTr="008F46B8">
        <w:trPr>
          <w:trHeight w:val="150"/>
        </w:trPr>
        <w:tc>
          <w:tcPr>
            <w:cnfStyle w:val="001000000000" w:firstRow="0" w:lastRow="0" w:firstColumn="1" w:lastColumn="0" w:oddVBand="0" w:evenVBand="0" w:oddHBand="0" w:evenHBand="0" w:firstRowFirstColumn="0" w:firstRowLastColumn="0" w:lastRowFirstColumn="0" w:lastRowLastColumn="0"/>
            <w:tcW w:w="2425" w:type="dxa"/>
            <w:shd w:val="clear" w:color="auto" w:fill="25408F"/>
          </w:tcPr>
          <w:p w14:paraId="5E00BA27" w14:textId="31042F32" w:rsidR="008F46B8" w:rsidRPr="00286C30" w:rsidRDefault="008F46B8" w:rsidP="008F46B8">
            <w:pPr>
              <w:pStyle w:val="TT-TableHeading"/>
            </w:pPr>
            <w:r w:rsidRPr="00286C30">
              <w:t>Best practice</w:t>
            </w:r>
          </w:p>
        </w:tc>
        <w:tc>
          <w:tcPr>
            <w:tcW w:w="7285" w:type="dxa"/>
            <w:shd w:val="clear" w:color="auto" w:fill="25408F"/>
          </w:tcPr>
          <w:p w14:paraId="5CF254DD" w14:textId="089368E9" w:rsidR="008F46B8" w:rsidRPr="00286C30" w:rsidRDefault="008F46B8" w:rsidP="008F46B8">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286C30">
              <w:t>Perspectives/ideas captured</w:t>
            </w:r>
          </w:p>
        </w:tc>
      </w:tr>
      <w:tr w:rsidR="008B132F" w:rsidRPr="00286C30" w14:paraId="527D46AE" w14:textId="77777777" w:rsidTr="008F46B8">
        <w:trPr>
          <w:cnfStyle w:val="000000100000" w:firstRow="0" w:lastRow="0" w:firstColumn="0" w:lastColumn="0" w:oddVBand="0" w:evenVBand="0" w:oddHBand="1" w:evenHBand="0" w:firstRowFirstColumn="0" w:firstRowLastColumn="0" w:lastRowFirstColumn="0" w:lastRowLastColumn="0"/>
          <w:trHeight w:val="88"/>
        </w:trPr>
        <w:tc>
          <w:tcPr>
            <w:cnfStyle w:val="001000000000" w:firstRow="0" w:lastRow="0" w:firstColumn="1" w:lastColumn="0" w:oddVBand="0" w:evenVBand="0" w:oddHBand="0" w:evenHBand="0" w:firstRowFirstColumn="0" w:firstRowLastColumn="0" w:lastRowFirstColumn="0" w:lastRowLastColumn="0"/>
            <w:tcW w:w="2425" w:type="dxa"/>
          </w:tcPr>
          <w:p w14:paraId="4C5E23BC" w14:textId="56F360A5" w:rsidR="008B132F" w:rsidRPr="00286C30" w:rsidRDefault="008B132F" w:rsidP="00B55548">
            <w:pPr>
              <w:rPr>
                <w:sz w:val="20"/>
                <w:szCs w:val="20"/>
              </w:rPr>
            </w:pPr>
            <w:r w:rsidRPr="00286C30">
              <w:rPr>
                <w:sz w:val="20"/>
                <w:szCs w:val="20"/>
              </w:rPr>
              <w:t xml:space="preserve">Complements other DR offerings and the competitive market (i.e., ERCOT </w:t>
            </w:r>
            <w:r w:rsidR="00341AAD">
              <w:rPr>
                <w:sz w:val="20"/>
                <w:szCs w:val="20"/>
              </w:rPr>
              <w:t>program</w:t>
            </w:r>
            <w:r w:rsidR="00857218">
              <w:rPr>
                <w:sz w:val="20"/>
                <w:szCs w:val="20"/>
              </w:rPr>
              <w:t>s</w:t>
            </w:r>
            <w:r w:rsidRPr="00286C30">
              <w:rPr>
                <w:sz w:val="20"/>
                <w:szCs w:val="20"/>
              </w:rPr>
              <w:t>, REP coordination)</w:t>
            </w:r>
          </w:p>
          <w:p w14:paraId="528DD018" w14:textId="77777777" w:rsidR="008B132F" w:rsidRPr="00286C30" w:rsidRDefault="008B132F" w:rsidP="00B55548">
            <w:pPr>
              <w:rPr>
                <w:sz w:val="20"/>
                <w:szCs w:val="20"/>
              </w:rPr>
            </w:pPr>
          </w:p>
        </w:tc>
        <w:tc>
          <w:tcPr>
            <w:tcW w:w="7285" w:type="dxa"/>
          </w:tcPr>
          <w:p w14:paraId="2574F8AB" w14:textId="77777777" w:rsidR="008B132F" w:rsidRPr="00286C30" w:rsidRDefault="008B132F" w:rsidP="00B55548">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Perspective 1:  Partner with REPs.</w:t>
            </w:r>
            <w:r w:rsidRPr="00286C30">
              <w:rPr>
                <w:sz w:val="20"/>
                <w:szCs w:val="20"/>
              </w:rPr>
              <w:t xml:space="preserve"> REP can partner with a smart thermostat provider and TDUs can allocate a percentage of their EE program budgets to deployment of the thermostats to customers recruited by REPs who agree to install the thermostat and enroll in the DR program.</w:t>
            </w:r>
          </w:p>
          <w:p w14:paraId="78F98895" w14:textId="46B301B0" w:rsidR="008B132F" w:rsidRPr="00286C30" w:rsidRDefault="008B132F" w:rsidP="00B55548">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Perspective 2: Prescreen and refer customers</w:t>
            </w:r>
            <w:r w:rsidRPr="00286C30">
              <w:rPr>
                <w:sz w:val="20"/>
                <w:szCs w:val="20"/>
              </w:rPr>
              <w:t xml:space="preserve">. The </w:t>
            </w:r>
            <w:r w:rsidR="00341AAD">
              <w:rPr>
                <w:sz w:val="20"/>
                <w:szCs w:val="20"/>
              </w:rPr>
              <w:t>IOU</w:t>
            </w:r>
            <w:r w:rsidRPr="00286C30">
              <w:rPr>
                <w:sz w:val="20"/>
                <w:szCs w:val="20"/>
              </w:rPr>
              <w:t xml:space="preserve"> could pre-screen the customer to ensure their home is smart thermostat ready through an audit or weatherization program or based on new construction.</w:t>
            </w:r>
          </w:p>
          <w:p w14:paraId="5F53E1BC" w14:textId="77777777" w:rsidR="008B132F" w:rsidRPr="00286C30" w:rsidRDefault="008B132F" w:rsidP="00B55548">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Perspective 3: Explore processes to support coordination even if Rule language does not need to change</w:t>
            </w:r>
            <w:r w:rsidRPr="00286C30">
              <w:rPr>
                <w:sz w:val="20"/>
                <w:szCs w:val="20"/>
              </w:rPr>
              <w:t>. Including a performance metric to promote coordination through tracking and reporting could be an option.</w:t>
            </w:r>
          </w:p>
          <w:p w14:paraId="37EC63D3" w14:textId="7F24F007" w:rsidR="008B132F" w:rsidRPr="00286C30" w:rsidRDefault="008B132F" w:rsidP="00B55548">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Perspective 4: Coordination is of supreme importance between stakeholders.</w:t>
            </w:r>
            <w:r w:rsidRPr="00286C30">
              <w:rPr>
                <w:sz w:val="20"/>
                <w:szCs w:val="20"/>
              </w:rPr>
              <w:t xml:space="preserve"> To be effective, the programs need the </w:t>
            </w:r>
            <w:r w:rsidR="00341AAD">
              <w:rPr>
                <w:sz w:val="20"/>
                <w:szCs w:val="20"/>
              </w:rPr>
              <w:t>IOU</w:t>
            </w:r>
            <w:r w:rsidRPr="00286C30">
              <w:rPr>
                <w:sz w:val="20"/>
                <w:szCs w:val="20"/>
              </w:rPr>
              <w:t xml:space="preserve">s with the smart meters and site stability to measure and manage parity between smart devices (heat pumps, water heaters, electric resistance, smart thermostats, etc.). The REPs have direct customer interaction, but it may not be as permanent with customer choice. Keeping that customer engaged in DR activities. </w:t>
            </w:r>
          </w:p>
          <w:p w14:paraId="52D50DBF" w14:textId="60ABB783" w:rsidR="008B132F" w:rsidRPr="00286C30" w:rsidRDefault="008B132F" w:rsidP="009528C9">
            <w:pPr>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Perspective 5: Coordination to bridge the gap to access data</w:t>
            </w:r>
            <w:r w:rsidRPr="00526AB6">
              <w:rPr>
                <w:sz w:val="20"/>
                <w:szCs w:val="20"/>
              </w:rPr>
              <w:t>.  Can</w:t>
            </w:r>
            <w:r w:rsidRPr="00286C30">
              <w:rPr>
                <w:sz w:val="20"/>
                <w:szCs w:val="20"/>
              </w:rPr>
              <w:t xml:space="preserve"> make it simple to evaluate and be broad in solicitation of DR programs. Right now, this requires a contract with the customers. </w:t>
            </w:r>
          </w:p>
        </w:tc>
      </w:tr>
      <w:tr w:rsidR="008B132F" w:rsidRPr="00286C30" w14:paraId="467558C8" w14:textId="77777777" w:rsidTr="008F46B8">
        <w:trPr>
          <w:trHeight w:val="58"/>
        </w:trPr>
        <w:tc>
          <w:tcPr>
            <w:cnfStyle w:val="001000000000" w:firstRow="0" w:lastRow="0" w:firstColumn="1" w:lastColumn="0" w:oddVBand="0" w:evenVBand="0" w:oddHBand="0" w:evenHBand="0" w:firstRowFirstColumn="0" w:firstRowLastColumn="0" w:lastRowFirstColumn="0" w:lastRowLastColumn="0"/>
            <w:tcW w:w="2425" w:type="dxa"/>
          </w:tcPr>
          <w:p w14:paraId="2B0D6970" w14:textId="77777777" w:rsidR="008B132F" w:rsidRPr="00286C30" w:rsidRDefault="008B132F" w:rsidP="008F46B8">
            <w:pPr>
              <w:keepNext/>
              <w:keepLines/>
              <w:rPr>
                <w:sz w:val="20"/>
                <w:szCs w:val="20"/>
              </w:rPr>
            </w:pPr>
            <w:r w:rsidRPr="00286C30">
              <w:rPr>
                <w:sz w:val="20"/>
                <w:szCs w:val="20"/>
              </w:rPr>
              <w:t>Improves grid resiliency (i.e., geotargeting, DER integration, seasonal needs)</w:t>
            </w:r>
          </w:p>
          <w:p w14:paraId="3C92BA91" w14:textId="77777777" w:rsidR="008B132F" w:rsidRPr="00286C30" w:rsidRDefault="008B132F" w:rsidP="008F46B8">
            <w:pPr>
              <w:keepNext/>
              <w:keepLines/>
              <w:rPr>
                <w:sz w:val="20"/>
                <w:szCs w:val="20"/>
              </w:rPr>
            </w:pPr>
          </w:p>
        </w:tc>
        <w:tc>
          <w:tcPr>
            <w:tcW w:w="7285" w:type="dxa"/>
          </w:tcPr>
          <w:p w14:paraId="640C0E16" w14:textId="77777777" w:rsidR="008B132F" w:rsidRPr="00286C30" w:rsidRDefault="008B132F"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u w:val="single"/>
              </w:rPr>
              <w:t>Perspective 1: Understanding the problem we are trying to solve is important.</w:t>
            </w:r>
            <w:r w:rsidRPr="00286C30">
              <w:rPr>
                <w:sz w:val="20"/>
                <w:szCs w:val="20"/>
              </w:rPr>
              <w:t xml:space="preserve"> Historically it has been summertime afternoon system demands. But the problems are changing and different for each utility service territory, whether bulk system issues, market issues, or distribution level, having the flexibility of geotargeting is important.</w:t>
            </w:r>
          </w:p>
          <w:p w14:paraId="3E9F6629" w14:textId="567BF5E6" w:rsidR="008B132F" w:rsidRPr="00286C30" w:rsidRDefault="008B132F"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u w:val="single"/>
              </w:rPr>
              <w:t>Perspective 2: Texas should glean best practices.</w:t>
            </w:r>
            <w:r w:rsidRPr="00286C30">
              <w:rPr>
                <w:sz w:val="20"/>
                <w:szCs w:val="20"/>
              </w:rPr>
              <w:t xml:space="preserve"> We should be looking at other states who have implemented successful programs or are ranking high on the list for Energy Efficiency programs, for instance New York’s Reforming the Energy Vision (REV) program. There is an excellent opportunity for each </w:t>
            </w:r>
            <w:r w:rsidR="00BA3F33">
              <w:rPr>
                <w:sz w:val="20"/>
                <w:szCs w:val="20"/>
              </w:rPr>
              <w:t>IOU</w:t>
            </w:r>
            <w:r w:rsidRPr="00286C30">
              <w:rPr>
                <w:sz w:val="20"/>
                <w:szCs w:val="20"/>
              </w:rPr>
              <w:t xml:space="preserve"> to study their local distribution and transmission related needs and assign a value to them.</w:t>
            </w:r>
          </w:p>
          <w:p w14:paraId="686359B5" w14:textId="6FFB3E07" w:rsidR="008B132F" w:rsidRPr="00286C30" w:rsidRDefault="008B132F" w:rsidP="00526AB6">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u w:val="single"/>
              </w:rPr>
              <w:t>Perspective 3: The T&amp;D utilities need to proactively think about managing distributed resources.</w:t>
            </w:r>
            <w:r w:rsidRPr="00286C30">
              <w:rPr>
                <w:sz w:val="20"/>
                <w:szCs w:val="20"/>
              </w:rPr>
              <w:t xml:space="preserve"> With solar systems, EV’s, storage, and other emerging technologies, they need to determine how to build out this system, manage and interact with customers and/or their retailers in a way that turns these innovative technologies into a resource for them.</w:t>
            </w:r>
          </w:p>
        </w:tc>
      </w:tr>
      <w:tr w:rsidR="008F46B8" w:rsidRPr="00286C30" w14:paraId="6B430925" w14:textId="77777777" w:rsidTr="008F46B8">
        <w:trPr>
          <w:cnfStyle w:val="000000100000" w:firstRow="0" w:lastRow="0" w:firstColumn="0" w:lastColumn="0" w:oddVBand="0" w:evenVBand="0" w:oddHBand="1"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2425" w:type="dxa"/>
            <w:shd w:val="clear" w:color="auto" w:fill="25408F"/>
          </w:tcPr>
          <w:p w14:paraId="7E2DDDE9" w14:textId="4B62360D" w:rsidR="008F46B8" w:rsidRPr="00286C30" w:rsidRDefault="008F46B8" w:rsidP="008F46B8">
            <w:pPr>
              <w:pStyle w:val="TT-TableHeading"/>
            </w:pPr>
            <w:r w:rsidRPr="00286C30">
              <w:t>Best practice</w:t>
            </w:r>
          </w:p>
        </w:tc>
        <w:tc>
          <w:tcPr>
            <w:tcW w:w="7285" w:type="dxa"/>
            <w:shd w:val="clear" w:color="auto" w:fill="25408F"/>
          </w:tcPr>
          <w:p w14:paraId="40A73FB0" w14:textId="11C06F5C" w:rsidR="008F46B8" w:rsidRPr="00286C30" w:rsidRDefault="008F46B8" w:rsidP="008F46B8">
            <w:pPr>
              <w:pStyle w:val="TT-TableHeading"/>
              <w:cnfStyle w:val="000000100000" w:firstRow="0" w:lastRow="0" w:firstColumn="0" w:lastColumn="0" w:oddVBand="0" w:evenVBand="0" w:oddHBand="1" w:evenHBand="0" w:firstRowFirstColumn="0" w:firstRowLastColumn="0" w:lastRowFirstColumn="0" w:lastRowLastColumn="0"/>
              <w:rPr>
                <w:u w:val="single"/>
              </w:rPr>
            </w:pPr>
            <w:r w:rsidRPr="00286C30">
              <w:t>Perspectives/ideas captured</w:t>
            </w:r>
          </w:p>
        </w:tc>
      </w:tr>
      <w:tr w:rsidR="008B132F" w:rsidRPr="00286C30" w14:paraId="35214A19" w14:textId="77777777" w:rsidTr="008F46B8">
        <w:trPr>
          <w:trHeight w:val="60"/>
        </w:trPr>
        <w:tc>
          <w:tcPr>
            <w:cnfStyle w:val="001000000000" w:firstRow="0" w:lastRow="0" w:firstColumn="1" w:lastColumn="0" w:oddVBand="0" w:evenVBand="0" w:oddHBand="0" w:evenHBand="0" w:firstRowFirstColumn="0" w:firstRowLastColumn="0" w:lastRowFirstColumn="0" w:lastRowLastColumn="0"/>
            <w:tcW w:w="2425" w:type="dxa"/>
            <w:shd w:val="clear" w:color="auto" w:fill="DAEEF3" w:themeFill="accent5" w:themeFillTint="33"/>
          </w:tcPr>
          <w:p w14:paraId="1EDBDD4E" w14:textId="77777777" w:rsidR="008B132F" w:rsidRPr="00286C30" w:rsidRDefault="008B132F" w:rsidP="00B55548">
            <w:pPr>
              <w:rPr>
                <w:sz w:val="20"/>
                <w:szCs w:val="20"/>
              </w:rPr>
            </w:pPr>
            <w:r w:rsidRPr="00286C30">
              <w:rPr>
                <w:sz w:val="20"/>
                <w:szCs w:val="20"/>
              </w:rPr>
              <w:t>Taps into potential across all eligible customer segments</w:t>
            </w:r>
          </w:p>
          <w:p w14:paraId="73C5BB58" w14:textId="77777777" w:rsidR="008B132F" w:rsidRPr="00286C30" w:rsidRDefault="008B132F" w:rsidP="00B55548">
            <w:pPr>
              <w:rPr>
                <w:bCs w:val="0"/>
                <w:sz w:val="20"/>
                <w:szCs w:val="20"/>
              </w:rPr>
            </w:pPr>
          </w:p>
        </w:tc>
        <w:tc>
          <w:tcPr>
            <w:tcW w:w="7285" w:type="dxa"/>
            <w:shd w:val="clear" w:color="auto" w:fill="DAEEF3" w:themeFill="accent5" w:themeFillTint="33"/>
          </w:tcPr>
          <w:p w14:paraId="03B12026" w14:textId="77777777" w:rsidR="008B132F" w:rsidRPr="00286C30" w:rsidRDefault="008B132F" w:rsidP="00B55548">
            <w:pPr>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u w:val="single"/>
              </w:rPr>
              <w:t>Perspective 1: For commercial customers, it’s important to have a range of participation options</w:t>
            </w:r>
            <w:r w:rsidRPr="00286C30">
              <w:rPr>
                <w:sz w:val="20"/>
                <w:szCs w:val="20"/>
              </w:rPr>
              <w:t>. Choices should consider their risk/reward tolerance, load shedding commitment, and flexibility needs and design the program with a range of options for customers.</w:t>
            </w:r>
          </w:p>
          <w:p w14:paraId="3750E300" w14:textId="77777777" w:rsidR="008B132F" w:rsidRPr="00286C30" w:rsidRDefault="008B132F" w:rsidP="00B55548">
            <w:pPr>
              <w:cnfStyle w:val="000000000000" w:firstRow="0" w:lastRow="0" w:firstColumn="0" w:lastColumn="0" w:oddVBand="0" w:evenVBand="0" w:oddHBand="0" w:evenHBand="0" w:firstRowFirstColumn="0" w:firstRowLastColumn="0" w:lastRowFirstColumn="0" w:lastRowLastColumn="0"/>
              <w:rPr>
                <w:sz w:val="20"/>
                <w:szCs w:val="20"/>
                <w:u w:val="single"/>
              </w:rPr>
            </w:pPr>
            <w:r w:rsidRPr="00286C30">
              <w:rPr>
                <w:sz w:val="20"/>
                <w:szCs w:val="20"/>
                <w:u w:val="single"/>
              </w:rPr>
              <w:t>Perspective 2: For residential customers, look at simple demand response programs and technologies that will attract customers into the program.</w:t>
            </w:r>
            <w:r w:rsidRPr="00286C30">
              <w:rPr>
                <w:sz w:val="20"/>
                <w:szCs w:val="20"/>
              </w:rPr>
              <w:t xml:space="preserve"> Having goals combined (DR and EE) simplifies this process. Example: you can install a smart thermostat and capture energy efficiency saving, but the utility also has a new smart device resource in the home that can be engaged on the DR side and enrolled even easier, even if down the road and vice versa. If you enroll the customer first in DR, it will be easier to engage them for other EE measures later. (Weatherization, etc.)</w:t>
            </w:r>
          </w:p>
        </w:tc>
      </w:tr>
      <w:tr w:rsidR="008F46B8" w:rsidRPr="00286C30" w14:paraId="713943BF" w14:textId="77777777" w:rsidTr="008F46B8">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2425" w:type="dxa"/>
            <w:shd w:val="clear" w:color="auto" w:fill="25408F"/>
          </w:tcPr>
          <w:p w14:paraId="08E32E5E" w14:textId="77777777" w:rsidR="008F46B8" w:rsidRPr="00286C30" w:rsidRDefault="008F46B8" w:rsidP="008F46B8">
            <w:pPr>
              <w:pStyle w:val="TT-TableHeading"/>
            </w:pPr>
          </w:p>
        </w:tc>
        <w:tc>
          <w:tcPr>
            <w:tcW w:w="7285" w:type="dxa"/>
            <w:shd w:val="clear" w:color="auto" w:fill="25408F"/>
          </w:tcPr>
          <w:p w14:paraId="0E76737D" w14:textId="77777777" w:rsidR="008F46B8" w:rsidRPr="00286C30" w:rsidRDefault="008F46B8" w:rsidP="008F46B8">
            <w:pPr>
              <w:pStyle w:val="TT-TableHeading"/>
              <w:cnfStyle w:val="000000100000" w:firstRow="0" w:lastRow="0" w:firstColumn="0" w:lastColumn="0" w:oddVBand="0" w:evenVBand="0" w:oddHBand="1" w:evenHBand="0" w:firstRowFirstColumn="0" w:firstRowLastColumn="0" w:lastRowFirstColumn="0" w:lastRowLastColumn="0"/>
              <w:rPr>
                <w:u w:val="single"/>
              </w:rPr>
            </w:pPr>
          </w:p>
        </w:tc>
      </w:tr>
      <w:tr w:rsidR="008B132F" w:rsidRPr="00286C30" w14:paraId="62E1C6DA" w14:textId="77777777" w:rsidTr="008F46B8">
        <w:trPr>
          <w:trHeight w:val="60"/>
        </w:trPr>
        <w:tc>
          <w:tcPr>
            <w:cnfStyle w:val="001000000000" w:firstRow="0" w:lastRow="0" w:firstColumn="1" w:lastColumn="0" w:oddVBand="0" w:evenVBand="0" w:oddHBand="0" w:evenHBand="0" w:firstRowFirstColumn="0" w:firstRowLastColumn="0" w:lastRowFirstColumn="0" w:lastRowLastColumn="0"/>
            <w:tcW w:w="2425" w:type="dxa"/>
          </w:tcPr>
          <w:p w14:paraId="5924656A" w14:textId="77777777" w:rsidR="008B132F" w:rsidRPr="00286C30" w:rsidRDefault="008B132F" w:rsidP="00B55548">
            <w:pPr>
              <w:rPr>
                <w:sz w:val="20"/>
                <w:szCs w:val="20"/>
              </w:rPr>
            </w:pPr>
            <w:r w:rsidRPr="00286C30">
              <w:rPr>
                <w:sz w:val="20"/>
                <w:szCs w:val="20"/>
              </w:rPr>
              <w:t>Employs consistency with flexibility to adapt to different markets and local system needs</w:t>
            </w:r>
          </w:p>
          <w:p w14:paraId="64538685" w14:textId="77777777" w:rsidR="008B132F" w:rsidRPr="00286C30" w:rsidRDefault="008B132F" w:rsidP="00B55548">
            <w:pPr>
              <w:rPr>
                <w:b w:val="0"/>
                <w:sz w:val="20"/>
                <w:szCs w:val="20"/>
              </w:rPr>
            </w:pPr>
          </w:p>
        </w:tc>
        <w:tc>
          <w:tcPr>
            <w:tcW w:w="7285" w:type="dxa"/>
          </w:tcPr>
          <w:p w14:paraId="41E21804" w14:textId="1D6F05F5" w:rsidR="008B132F" w:rsidRPr="00286C30" w:rsidRDefault="008B132F" w:rsidP="00B55548">
            <w:pPr>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u w:val="single"/>
              </w:rPr>
              <w:t>Perspective 1: Rules to evaluate cost effectiveness of energy efficiency products.</w:t>
            </w:r>
            <w:r w:rsidRPr="00286C30">
              <w:rPr>
                <w:sz w:val="20"/>
                <w:szCs w:val="20"/>
              </w:rPr>
              <w:t xml:space="preserve"> Historically funded demand response products through those plans and proceedings, but as portfolios evolve and get away from just peak shedding products into more flexible “DR 3.0” products, there’s the need for tools and </w:t>
            </w:r>
            <w:r w:rsidR="0014083D">
              <w:rPr>
                <w:sz w:val="20"/>
                <w:szCs w:val="20"/>
              </w:rPr>
              <w:t>16 TAC §25.181</w:t>
            </w:r>
            <w:r w:rsidRPr="00286C30">
              <w:rPr>
                <w:sz w:val="20"/>
                <w:szCs w:val="20"/>
              </w:rPr>
              <w:t>s to give us runway to implement these best practices because we know the value is there.</w:t>
            </w:r>
          </w:p>
          <w:p w14:paraId="19C02A8C" w14:textId="77777777" w:rsidR="008B132F" w:rsidRPr="00286C30" w:rsidRDefault="008B132F" w:rsidP="00B55548">
            <w:pPr>
              <w:cnfStyle w:val="000000000000" w:firstRow="0" w:lastRow="0" w:firstColumn="0" w:lastColumn="0" w:oddVBand="0" w:evenVBand="0" w:oddHBand="0" w:evenHBand="0" w:firstRowFirstColumn="0" w:firstRowLastColumn="0" w:lastRowFirstColumn="0" w:lastRowLastColumn="0"/>
              <w:rPr>
                <w:sz w:val="20"/>
                <w:szCs w:val="20"/>
              </w:rPr>
            </w:pPr>
            <w:r w:rsidRPr="00286C30">
              <w:rPr>
                <w:sz w:val="20"/>
                <w:szCs w:val="20"/>
                <w:u w:val="single"/>
              </w:rPr>
              <w:t>Perspective 2: Consistency across utility territories can improve.</w:t>
            </w:r>
            <w:r w:rsidRPr="00286C30">
              <w:rPr>
                <w:sz w:val="20"/>
                <w:szCs w:val="20"/>
              </w:rPr>
              <w:t xml:space="preserve"> There is an opportunity to have consistency in program offerings across utility territories that would increase efficiency of service providers coordination but recognize there are different needs across territories.</w:t>
            </w:r>
          </w:p>
          <w:p w14:paraId="7C2CEF35" w14:textId="77777777" w:rsidR="008B132F" w:rsidRPr="00286C30" w:rsidDel="007C4FC1" w:rsidRDefault="008B132F" w:rsidP="00B55548">
            <w:pPr>
              <w:cnfStyle w:val="000000000000" w:firstRow="0" w:lastRow="0" w:firstColumn="0" w:lastColumn="0" w:oddVBand="0" w:evenVBand="0" w:oddHBand="0" w:evenHBand="0" w:firstRowFirstColumn="0" w:firstRowLastColumn="0" w:lastRowFirstColumn="0" w:lastRowLastColumn="0"/>
              <w:rPr>
                <w:sz w:val="20"/>
                <w:szCs w:val="20"/>
              </w:rPr>
            </w:pPr>
          </w:p>
        </w:tc>
      </w:tr>
      <w:tr w:rsidR="008B132F" w:rsidRPr="00286C30" w14:paraId="6C9E2ED0" w14:textId="77777777" w:rsidTr="008F46B8">
        <w:trPr>
          <w:cnfStyle w:val="000000100000" w:firstRow="0" w:lastRow="0" w:firstColumn="0" w:lastColumn="0" w:oddVBand="0" w:evenVBand="0" w:oddHBand="1" w:evenHBand="0" w:firstRowFirstColumn="0" w:firstRowLastColumn="0" w:lastRowFirstColumn="0" w:lastRowLastColumn="0"/>
          <w:trHeight w:val="88"/>
        </w:trPr>
        <w:tc>
          <w:tcPr>
            <w:cnfStyle w:val="001000000000" w:firstRow="0" w:lastRow="0" w:firstColumn="1" w:lastColumn="0" w:oddVBand="0" w:evenVBand="0" w:oddHBand="0" w:evenHBand="0" w:firstRowFirstColumn="0" w:firstRowLastColumn="0" w:lastRowFirstColumn="0" w:lastRowLastColumn="0"/>
            <w:tcW w:w="2425" w:type="dxa"/>
          </w:tcPr>
          <w:p w14:paraId="0A968A1E" w14:textId="77777777" w:rsidR="008B132F" w:rsidRPr="00286C30" w:rsidRDefault="008B132F" w:rsidP="008F46B8">
            <w:pPr>
              <w:keepNext/>
              <w:keepLines/>
              <w:rPr>
                <w:sz w:val="20"/>
                <w:szCs w:val="20"/>
              </w:rPr>
            </w:pPr>
            <w:r w:rsidRPr="00286C30">
              <w:rPr>
                <w:sz w:val="20"/>
                <w:szCs w:val="20"/>
              </w:rPr>
              <w:t>Accurately reflects the value of the demand response to the grid</w:t>
            </w:r>
          </w:p>
          <w:p w14:paraId="4C3D4A1C" w14:textId="77777777" w:rsidR="008B132F" w:rsidRPr="00286C30" w:rsidRDefault="008B132F" w:rsidP="008F46B8">
            <w:pPr>
              <w:keepNext/>
              <w:keepLines/>
              <w:rPr>
                <w:b w:val="0"/>
                <w:sz w:val="20"/>
                <w:szCs w:val="20"/>
              </w:rPr>
            </w:pPr>
          </w:p>
        </w:tc>
        <w:tc>
          <w:tcPr>
            <w:tcW w:w="7285" w:type="dxa"/>
          </w:tcPr>
          <w:p w14:paraId="6650EA43" w14:textId="77777777" w:rsidR="008B132F" w:rsidRPr="00286C30" w:rsidRDefault="008B132F"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 xml:space="preserve">Perspective 1: Geotargeting can be used to value DR. </w:t>
            </w:r>
            <w:r w:rsidRPr="00286C30">
              <w:rPr>
                <w:sz w:val="20"/>
                <w:szCs w:val="20"/>
              </w:rPr>
              <w:t xml:space="preserve">Con Ed has a great program example where they have analyzed every subsystem peak and assigned a value in their distribution network, so they know what curtailment is worth during those peaks and can target efforts and budget where needed most. </w:t>
            </w:r>
          </w:p>
          <w:p w14:paraId="0493F5B3" w14:textId="77777777" w:rsidR="008B132F" w:rsidRPr="00286C30" w:rsidRDefault="008B132F"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Perspective 2: Understanding what other states are doing with regards to intelligent rates is an opportunity</w:t>
            </w:r>
            <w:r w:rsidRPr="00286C30">
              <w:rPr>
                <w:sz w:val="20"/>
                <w:szCs w:val="20"/>
              </w:rPr>
              <w:t>. For instance, designing intelligent rate structures that reflect the cost of delivering energy to the customer, at the time it is being delivered to a particular location, while also making those price signals available to customers. Service providers will be encouraged to serve those customers, customers will better understand the value and a “clunky” separate market may not be needed for it.</w:t>
            </w:r>
          </w:p>
          <w:p w14:paraId="769FC3B2" w14:textId="77777777" w:rsidR="008B132F" w:rsidRPr="00286C30" w:rsidRDefault="008B132F"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 xml:space="preserve">Perspective 3: Budgets will matter. </w:t>
            </w:r>
            <w:r w:rsidRPr="00286C30">
              <w:rPr>
                <w:sz w:val="20"/>
                <w:szCs w:val="20"/>
              </w:rPr>
              <w:t>Do not assume the commission is not willing to increase budgets. It is up to stakeholders to present options that will increase reliability in the market, safety, and other issues while also providing a significant benefit to Texans.</w:t>
            </w:r>
          </w:p>
          <w:p w14:paraId="6A237075" w14:textId="77777777" w:rsidR="008B132F" w:rsidRPr="00286C30" w:rsidDel="007C4FC1" w:rsidRDefault="008B132F"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286C30">
              <w:rPr>
                <w:sz w:val="20"/>
                <w:szCs w:val="20"/>
                <w:u w:val="single"/>
              </w:rPr>
              <w:t xml:space="preserve">Perspective 4: Revise avoided costs. </w:t>
            </w:r>
            <w:r w:rsidRPr="00286C30">
              <w:rPr>
                <w:sz w:val="20"/>
                <w:szCs w:val="20"/>
              </w:rPr>
              <w:t>It is important to remember the value these programs can provide to the T&amp;D providers. We should be calculating the avoided cost of T&amp;D for these programs not just the avoided costs of DR and EE savings. Going through the effort to track the benefits will be educational.</w:t>
            </w:r>
          </w:p>
        </w:tc>
      </w:tr>
    </w:tbl>
    <w:p w14:paraId="4AA20B37" w14:textId="5BA4316D" w:rsidR="008B132F" w:rsidRDefault="00F50528" w:rsidP="008B132F">
      <w:pPr>
        <w:pStyle w:val="Heading3"/>
      </w:pPr>
      <w:r w:rsidRPr="00F50528">
        <w:t>Session 3 February 22, 2023-- Considerations for Demand Response Best Practices</w:t>
      </w:r>
    </w:p>
    <w:p w14:paraId="0E51E1A7" w14:textId="4A0252AF" w:rsidR="003C263A" w:rsidRPr="00AC6793" w:rsidRDefault="003C263A" w:rsidP="003C263A">
      <w:pPr>
        <w:tabs>
          <w:tab w:val="left" w:pos="4095"/>
        </w:tabs>
        <w:rPr>
          <w:color w:val="B6DDE8" w:themeColor="accent5" w:themeTint="66"/>
          <w:sz w:val="24"/>
          <w:szCs w:val="24"/>
        </w:rPr>
      </w:pPr>
      <w:r>
        <w:t>Session 3 discussion on Considerations to implement Demand Response Best Practices. The table below summarizes the key issues identified and places a priority/level of effort for addressing this issue in a rulemaking</w:t>
      </w:r>
      <w:r w:rsidR="008F46B8">
        <w:t>.</w:t>
      </w:r>
      <w:r w:rsidR="008F46B8">
        <w:br/>
      </w:r>
    </w:p>
    <w:tbl>
      <w:tblPr>
        <w:tblStyle w:val="GridTable4-Accent5"/>
        <w:tblW w:w="100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76"/>
        <w:gridCol w:w="4599"/>
        <w:gridCol w:w="3600"/>
      </w:tblGrid>
      <w:tr w:rsidR="003C263A" w:rsidRPr="009528C9" w14:paraId="15C1636B" w14:textId="77777777" w:rsidTr="008F46B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76" w:type="dxa"/>
            <w:tcBorders>
              <w:top w:val="none" w:sz="0" w:space="0" w:color="auto"/>
              <w:left w:val="none" w:sz="0" w:space="0" w:color="auto"/>
              <w:bottom w:val="none" w:sz="0" w:space="0" w:color="auto"/>
              <w:right w:val="none" w:sz="0" w:space="0" w:color="auto"/>
            </w:tcBorders>
            <w:shd w:val="clear" w:color="auto" w:fill="25408F"/>
          </w:tcPr>
          <w:p w14:paraId="764A8D65" w14:textId="77777777" w:rsidR="003C263A" w:rsidRPr="009528C9" w:rsidRDefault="003C263A" w:rsidP="008F46B8">
            <w:pPr>
              <w:pStyle w:val="TT-TableHeading"/>
              <w:rPr>
                <w:bCs/>
              </w:rPr>
            </w:pPr>
            <w:r w:rsidRPr="009528C9">
              <w:t>Issue</w:t>
            </w:r>
          </w:p>
        </w:tc>
        <w:tc>
          <w:tcPr>
            <w:tcW w:w="4599" w:type="dxa"/>
            <w:tcBorders>
              <w:top w:val="none" w:sz="0" w:space="0" w:color="auto"/>
              <w:left w:val="none" w:sz="0" w:space="0" w:color="auto"/>
              <w:bottom w:val="none" w:sz="0" w:space="0" w:color="auto"/>
              <w:right w:val="none" w:sz="0" w:space="0" w:color="auto"/>
            </w:tcBorders>
            <w:shd w:val="clear" w:color="auto" w:fill="25408F"/>
          </w:tcPr>
          <w:p w14:paraId="251F51B5" w14:textId="77777777" w:rsidR="003C263A" w:rsidRPr="009528C9" w:rsidRDefault="003C263A" w:rsidP="008F46B8">
            <w:pPr>
              <w:pStyle w:val="TT-TableHeading"/>
              <w:cnfStyle w:val="100000000000" w:firstRow="1" w:lastRow="0" w:firstColumn="0" w:lastColumn="0" w:oddVBand="0" w:evenVBand="0" w:oddHBand="0" w:evenHBand="0" w:firstRowFirstColumn="0" w:firstRowLastColumn="0" w:lastRowFirstColumn="0" w:lastRowLastColumn="0"/>
              <w:rPr>
                <w:bCs/>
              </w:rPr>
            </w:pPr>
            <w:r w:rsidRPr="009528C9">
              <w:t>Summary</w:t>
            </w:r>
          </w:p>
        </w:tc>
        <w:tc>
          <w:tcPr>
            <w:tcW w:w="3600" w:type="dxa"/>
            <w:tcBorders>
              <w:top w:val="none" w:sz="0" w:space="0" w:color="auto"/>
              <w:left w:val="none" w:sz="0" w:space="0" w:color="auto"/>
              <w:bottom w:val="none" w:sz="0" w:space="0" w:color="auto"/>
              <w:right w:val="none" w:sz="0" w:space="0" w:color="auto"/>
            </w:tcBorders>
            <w:shd w:val="clear" w:color="auto" w:fill="25408F"/>
          </w:tcPr>
          <w:p w14:paraId="3D8E4387" w14:textId="3E1A632E" w:rsidR="003C263A" w:rsidRPr="009528C9" w:rsidRDefault="003C263A" w:rsidP="008F46B8">
            <w:pPr>
              <w:pStyle w:val="TT-TableHeading"/>
              <w:cnfStyle w:val="100000000000" w:firstRow="1" w:lastRow="0" w:firstColumn="0" w:lastColumn="0" w:oddVBand="0" w:evenVBand="0" w:oddHBand="0" w:evenHBand="0" w:firstRowFirstColumn="0" w:firstRowLastColumn="0" w:lastRowFirstColumn="0" w:lastRowLastColumn="0"/>
              <w:rPr>
                <w:bCs/>
              </w:rPr>
            </w:pPr>
            <w:r w:rsidRPr="009528C9">
              <w:t xml:space="preserve">Working Group </w:t>
            </w:r>
            <w:r w:rsidR="008F46B8" w:rsidRPr="009528C9">
              <w:t>priority and why</w:t>
            </w:r>
          </w:p>
        </w:tc>
      </w:tr>
      <w:tr w:rsidR="003C263A" w:rsidRPr="009528C9" w14:paraId="4D2224C0" w14:textId="77777777" w:rsidTr="008F46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6" w:type="dxa"/>
          </w:tcPr>
          <w:p w14:paraId="370FBD63" w14:textId="77777777" w:rsidR="003C263A" w:rsidRPr="009528C9" w:rsidRDefault="003C263A" w:rsidP="00B55548">
            <w:pPr>
              <w:rPr>
                <w:b w:val="0"/>
                <w:bCs w:val="0"/>
                <w:sz w:val="20"/>
                <w:szCs w:val="20"/>
              </w:rPr>
            </w:pPr>
            <w:r w:rsidRPr="009528C9">
              <w:rPr>
                <w:sz w:val="20"/>
                <w:szCs w:val="20"/>
              </w:rPr>
              <w:t>Issue 1: Peak Definitions</w:t>
            </w:r>
          </w:p>
        </w:tc>
        <w:tc>
          <w:tcPr>
            <w:tcW w:w="4599" w:type="dxa"/>
          </w:tcPr>
          <w:p w14:paraId="71E15DAC" w14:textId="02F667F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rPr>
              <w:t xml:space="preserve">Winter and Summer Peak demand periods are defined in </w:t>
            </w:r>
            <w:r w:rsidR="004A570A">
              <w:rPr>
                <w:sz w:val="20"/>
                <w:szCs w:val="20"/>
              </w:rPr>
              <w:t>16 TAC §25.181</w:t>
            </w:r>
            <w:r w:rsidRPr="009528C9">
              <w:rPr>
                <w:sz w:val="20"/>
                <w:szCs w:val="20"/>
              </w:rPr>
              <w:t>(a)(45): 1-7 PM June – September 6-10 PM December -February, excluding weekends and Federal holidays, can be called for grid emergency or system reliability.</w:t>
            </w:r>
          </w:p>
        </w:tc>
        <w:tc>
          <w:tcPr>
            <w:tcW w:w="3600" w:type="dxa"/>
          </w:tcPr>
          <w:p w14:paraId="6DD38019"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b/>
                <w:bCs/>
                <w:sz w:val="20"/>
                <w:szCs w:val="20"/>
              </w:rPr>
              <w:t xml:space="preserve">High Priority: </w:t>
            </w:r>
            <w:r w:rsidRPr="009528C9">
              <w:rPr>
                <w:sz w:val="20"/>
                <w:szCs w:val="20"/>
              </w:rPr>
              <w:t>Stakeholders voiced the need to look at future problems and align flexibility in definitions that will support Texas future grid needs.</w:t>
            </w:r>
          </w:p>
          <w:p w14:paraId="65E63F95"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p>
        </w:tc>
      </w:tr>
      <w:tr w:rsidR="008F46B8" w:rsidRPr="009528C9" w14:paraId="20C26AD8" w14:textId="77777777" w:rsidTr="008F46B8">
        <w:tc>
          <w:tcPr>
            <w:cnfStyle w:val="001000000000" w:firstRow="0" w:lastRow="0" w:firstColumn="1" w:lastColumn="0" w:oddVBand="0" w:evenVBand="0" w:oddHBand="0" w:evenHBand="0" w:firstRowFirstColumn="0" w:firstRowLastColumn="0" w:lastRowFirstColumn="0" w:lastRowLastColumn="0"/>
            <w:tcW w:w="1876" w:type="dxa"/>
            <w:shd w:val="clear" w:color="auto" w:fill="25408F"/>
          </w:tcPr>
          <w:p w14:paraId="50750798" w14:textId="2E433B42" w:rsidR="008F46B8" w:rsidRPr="009528C9" w:rsidRDefault="008F46B8" w:rsidP="008F46B8">
            <w:pPr>
              <w:pStyle w:val="TT-TableHeading"/>
            </w:pPr>
            <w:r w:rsidRPr="009528C9">
              <w:t>Issue</w:t>
            </w:r>
          </w:p>
        </w:tc>
        <w:tc>
          <w:tcPr>
            <w:tcW w:w="4599" w:type="dxa"/>
            <w:shd w:val="clear" w:color="auto" w:fill="25408F"/>
          </w:tcPr>
          <w:p w14:paraId="34B12F5B" w14:textId="64451942" w:rsidR="008F46B8" w:rsidRPr="009528C9"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9528C9">
              <w:t>Summary</w:t>
            </w:r>
          </w:p>
        </w:tc>
        <w:tc>
          <w:tcPr>
            <w:tcW w:w="3600" w:type="dxa"/>
            <w:shd w:val="clear" w:color="auto" w:fill="25408F"/>
          </w:tcPr>
          <w:p w14:paraId="0C72876F" w14:textId="49E6E15A" w:rsidR="008F46B8" w:rsidRPr="009528C9"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9528C9">
              <w:t>Working Group priority and why</w:t>
            </w:r>
          </w:p>
        </w:tc>
      </w:tr>
      <w:tr w:rsidR="003C263A" w:rsidRPr="009528C9" w14:paraId="7ED60A94" w14:textId="77777777" w:rsidTr="008F46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6" w:type="dxa"/>
            <w:shd w:val="clear" w:color="auto" w:fill="auto"/>
          </w:tcPr>
          <w:p w14:paraId="31E8A9A0" w14:textId="77777777" w:rsidR="003C263A" w:rsidRPr="009528C9" w:rsidRDefault="003C263A" w:rsidP="00B55548">
            <w:pPr>
              <w:rPr>
                <w:sz w:val="20"/>
                <w:szCs w:val="20"/>
              </w:rPr>
            </w:pPr>
            <w:r w:rsidRPr="009528C9">
              <w:rPr>
                <w:sz w:val="20"/>
                <w:szCs w:val="20"/>
              </w:rPr>
              <w:t>Issue 2: Cost-effectiveness of programs</w:t>
            </w:r>
          </w:p>
        </w:tc>
        <w:tc>
          <w:tcPr>
            <w:tcW w:w="4599" w:type="dxa"/>
            <w:shd w:val="clear" w:color="auto" w:fill="auto"/>
          </w:tcPr>
          <w:p w14:paraId="45C02ABA"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rPr>
              <w:t>Load management programs must pass the utility cost test, which does not include T&amp;D from DR</w:t>
            </w:r>
          </w:p>
        </w:tc>
        <w:tc>
          <w:tcPr>
            <w:tcW w:w="3600" w:type="dxa"/>
            <w:shd w:val="clear" w:color="auto" w:fill="auto"/>
          </w:tcPr>
          <w:p w14:paraId="783405F9"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b/>
                <w:bCs/>
                <w:sz w:val="20"/>
                <w:szCs w:val="20"/>
              </w:rPr>
              <w:t xml:space="preserve">High Priority: </w:t>
            </w:r>
            <w:r w:rsidRPr="009528C9">
              <w:rPr>
                <w:sz w:val="20"/>
                <w:szCs w:val="20"/>
              </w:rPr>
              <w:t>Stakeholders agree the value of demand response to the grid is not adequately recognized</w:t>
            </w:r>
          </w:p>
        </w:tc>
      </w:tr>
      <w:tr w:rsidR="003C263A" w:rsidRPr="009528C9" w14:paraId="48A3BE09" w14:textId="77777777" w:rsidTr="008F46B8">
        <w:tc>
          <w:tcPr>
            <w:cnfStyle w:val="001000000000" w:firstRow="0" w:lastRow="0" w:firstColumn="1" w:lastColumn="0" w:oddVBand="0" w:evenVBand="0" w:oddHBand="0" w:evenHBand="0" w:firstRowFirstColumn="0" w:firstRowLastColumn="0" w:lastRowFirstColumn="0" w:lastRowLastColumn="0"/>
            <w:tcW w:w="1876" w:type="dxa"/>
            <w:shd w:val="clear" w:color="auto" w:fill="DAEEF3" w:themeFill="accent5" w:themeFillTint="33"/>
          </w:tcPr>
          <w:p w14:paraId="7460C9F9" w14:textId="77777777" w:rsidR="003C263A" w:rsidRPr="009528C9" w:rsidRDefault="003C263A" w:rsidP="008F46B8">
            <w:pPr>
              <w:keepNext/>
              <w:keepLines/>
              <w:rPr>
                <w:sz w:val="20"/>
                <w:szCs w:val="20"/>
              </w:rPr>
            </w:pPr>
            <w:r w:rsidRPr="009528C9">
              <w:rPr>
                <w:sz w:val="20"/>
                <w:szCs w:val="20"/>
              </w:rPr>
              <w:t>Issue 2: Cost of programs</w:t>
            </w:r>
          </w:p>
        </w:tc>
        <w:tc>
          <w:tcPr>
            <w:tcW w:w="4599" w:type="dxa"/>
            <w:shd w:val="clear" w:color="auto" w:fill="DAEEF3" w:themeFill="accent5" w:themeFillTint="33"/>
          </w:tcPr>
          <w:p w14:paraId="40313930"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9528C9">
              <w:rPr>
                <w:sz w:val="20"/>
                <w:szCs w:val="20"/>
              </w:rPr>
              <w:t>25.182 (d)(7) Cost Caps for 2019 and after increases by CPI. 2018 base is $0.001263 per kWh; for commercial $0.000790 per kWh.</w:t>
            </w:r>
          </w:p>
          <w:p w14:paraId="3B6BB749"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p>
          <w:p w14:paraId="2E6344FC" w14:textId="73F29B60" w:rsidR="003C263A" w:rsidRPr="009528C9" w:rsidRDefault="004A570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3C263A" w:rsidRPr="009528C9">
              <w:rPr>
                <w:sz w:val="20"/>
                <w:szCs w:val="20"/>
              </w:rPr>
              <w:t>(i) cost of administration not to exceed 15% of a utility’s total program costs. The cost of R&amp;D not to exceed 10% of a utility’s total program costs. Total of both cannot exceed 20%.</w:t>
            </w:r>
          </w:p>
          <w:p w14:paraId="315A4CBE"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p>
          <w:p w14:paraId="703EDCA7" w14:textId="4B97895D" w:rsidR="003C263A" w:rsidRPr="009528C9" w:rsidRDefault="004A570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3C263A" w:rsidRPr="009528C9">
              <w:rPr>
                <w:sz w:val="20"/>
                <w:szCs w:val="20"/>
              </w:rPr>
              <w:t>(f) Energy Efficiency Cost Recovery Factor (EECRF) (f)(2) Costs directly assigned to each rate class that receives services, can combine smaller and similar rate classes through good cause exception.</w:t>
            </w:r>
          </w:p>
        </w:tc>
        <w:tc>
          <w:tcPr>
            <w:tcW w:w="3600" w:type="dxa"/>
            <w:shd w:val="clear" w:color="auto" w:fill="DAEEF3" w:themeFill="accent5" w:themeFillTint="33"/>
          </w:tcPr>
          <w:p w14:paraId="36A3E562"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b/>
                <w:bCs/>
                <w:sz w:val="20"/>
                <w:szCs w:val="20"/>
              </w:rPr>
            </w:pPr>
            <w:r w:rsidRPr="009528C9">
              <w:rPr>
                <w:b/>
                <w:bCs/>
                <w:sz w:val="20"/>
                <w:szCs w:val="20"/>
              </w:rPr>
              <w:t xml:space="preserve">High Priority: </w:t>
            </w:r>
            <w:r w:rsidRPr="009528C9">
              <w:rPr>
                <w:sz w:val="20"/>
                <w:szCs w:val="20"/>
              </w:rPr>
              <w:t>Stakeholders agree that cost caps pose barriers to bringing new innovative programs to market. In addition, they voiced the need to include additional benefits in cost effectiveness calculations and considerations. Xcel cannot run a residential demand response program in their EE portfolio due to the cost cap.</w:t>
            </w:r>
          </w:p>
        </w:tc>
      </w:tr>
      <w:tr w:rsidR="008F46B8" w:rsidRPr="009528C9" w14:paraId="41063ACD" w14:textId="77777777" w:rsidTr="008F46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6" w:type="dxa"/>
            <w:shd w:val="clear" w:color="auto" w:fill="25408F"/>
          </w:tcPr>
          <w:p w14:paraId="410B567B" w14:textId="538A04FB" w:rsidR="008F46B8" w:rsidRPr="009528C9" w:rsidRDefault="008F46B8" w:rsidP="008F46B8">
            <w:pPr>
              <w:pStyle w:val="TT-TableHeading"/>
            </w:pPr>
            <w:r w:rsidRPr="009528C9">
              <w:t>Issue</w:t>
            </w:r>
          </w:p>
        </w:tc>
        <w:tc>
          <w:tcPr>
            <w:tcW w:w="4599" w:type="dxa"/>
            <w:shd w:val="clear" w:color="auto" w:fill="25408F"/>
          </w:tcPr>
          <w:p w14:paraId="6B018B9E" w14:textId="70EDF942" w:rsidR="008F46B8" w:rsidRPr="009528C9" w:rsidRDefault="008F46B8" w:rsidP="008F46B8">
            <w:pPr>
              <w:pStyle w:val="TT-TableHeading"/>
              <w:cnfStyle w:val="000000100000" w:firstRow="0" w:lastRow="0" w:firstColumn="0" w:lastColumn="0" w:oddVBand="0" w:evenVBand="0" w:oddHBand="1" w:evenHBand="0" w:firstRowFirstColumn="0" w:firstRowLastColumn="0" w:lastRowFirstColumn="0" w:lastRowLastColumn="0"/>
            </w:pPr>
            <w:r w:rsidRPr="009528C9">
              <w:t>Summary</w:t>
            </w:r>
          </w:p>
        </w:tc>
        <w:tc>
          <w:tcPr>
            <w:tcW w:w="3600" w:type="dxa"/>
            <w:shd w:val="clear" w:color="auto" w:fill="25408F"/>
          </w:tcPr>
          <w:p w14:paraId="35560B8F" w14:textId="74803E47" w:rsidR="008F46B8" w:rsidRPr="009528C9" w:rsidRDefault="008F46B8" w:rsidP="008F46B8">
            <w:pPr>
              <w:pStyle w:val="TT-TableHeading"/>
              <w:cnfStyle w:val="000000100000" w:firstRow="0" w:lastRow="0" w:firstColumn="0" w:lastColumn="0" w:oddVBand="0" w:evenVBand="0" w:oddHBand="1" w:evenHBand="0" w:firstRowFirstColumn="0" w:firstRowLastColumn="0" w:lastRowFirstColumn="0" w:lastRowLastColumn="0"/>
            </w:pPr>
            <w:r w:rsidRPr="009528C9">
              <w:t>Working Group priority and why</w:t>
            </w:r>
          </w:p>
        </w:tc>
      </w:tr>
      <w:tr w:rsidR="003C263A" w:rsidRPr="009528C9" w14:paraId="2ACB5DAA" w14:textId="77777777" w:rsidTr="008F46B8">
        <w:trPr>
          <w:trHeight w:val="125"/>
        </w:trPr>
        <w:tc>
          <w:tcPr>
            <w:cnfStyle w:val="001000000000" w:firstRow="0" w:lastRow="0" w:firstColumn="1" w:lastColumn="0" w:oddVBand="0" w:evenVBand="0" w:oddHBand="0" w:evenHBand="0" w:firstRowFirstColumn="0" w:firstRowLastColumn="0" w:lastRowFirstColumn="0" w:lastRowLastColumn="0"/>
            <w:tcW w:w="1876" w:type="dxa"/>
            <w:shd w:val="clear" w:color="auto" w:fill="auto"/>
          </w:tcPr>
          <w:p w14:paraId="4CBE4C84" w14:textId="77777777" w:rsidR="003C263A" w:rsidRPr="009528C9" w:rsidRDefault="003C263A" w:rsidP="00B55548">
            <w:pPr>
              <w:rPr>
                <w:sz w:val="20"/>
                <w:szCs w:val="20"/>
              </w:rPr>
            </w:pPr>
            <w:r w:rsidRPr="009528C9">
              <w:rPr>
                <w:sz w:val="20"/>
                <w:szCs w:val="20"/>
              </w:rPr>
              <w:t>Issue 3: Process to coordinate and innovate</w:t>
            </w:r>
          </w:p>
        </w:tc>
        <w:tc>
          <w:tcPr>
            <w:tcW w:w="4599" w:type="dxa"/>
            <w:shd w:val="clear" w:color="auto" w:fill="auto"/>
          </w:tcPr>
          <w:p w14:paraId="3B8A3759" w14:textId="6202DD32" w:rsidR="003C263A" w:rsidRPr="009528C9" w:rsidRDefault="003C263A" w:rsidP="00B55548">
            <w:pPr>
              <w:cnfStyle w:val="000000000000" w:firstRow="0" w:lastRow="0" w:firstColumn="0" w:lastColumn="0" w:oddVBand="0" w:evenVBand="0" w:oddHBand="0" w:evenHBand="0" w:firstRowFirstColumn="0" w:firstRowLastColumn="0" w:lastRowFirstColumn="0" w:lastRowLastColumn="0"/>
              <w:rPr>
                <w:sz w:val="20"/>
                <w:szCs w:val="20"/>
              </w:rPr>
            </w:pPr>
            <w:r w:rsidRPr="009528C9">
              <w:rPr>
                <w:sz w:val="20"/>
                <w:szCs w:val="20"/>
              </w:rPr>
              <w:t xml:space="preserve">PURA and </w:t>
            </w:r>
            <w:r w:rsidR="004A570A">
              <w:rPr>
                <w:sz w:val="20"/>
                <w:szCs w:val="20"/>
              </w:rPr>
              <w:t>16 TAC §25.181</w:t>
            </w:r>
            <w:r w:rsidRPr="009528C9">
              <w:rPr>
                <w:sz w:val="20"/>
                <w:szCs w:val="20"/>
              </w:rPr>
              <w:t>require ERCOT utilities to use their best efforts to encourage and facilitate involvement of retail electric providers (REPs) in delivery of EE and DR programs.</w:t>
            </w:r>
          </w:p>
        </w:tc>
        <w:tc>
          <w:tcPr>
            <w:tcW w:w="3600" w:type="dxa"/>
            <w:shd w:val="clear" w:color="auto" w:fill="auto"/>
          </w:tcPr>
          <w:p w14:paraId="407A318A" w14:textId="22766F28" w:rsidR="003C263A" w:rsidRPr="009528C9" w:rsidRDefault="003C263A" w:rsidP="00B55548">
            <w:pPr>
              <w:cnfStyle w:val="000000000000" w:firstRow="0" w:lastRow="0" w:firstColumn="0" w:lastColumn="0" w:oddVBand="0" w:evenVBand="0" w:oddHBand="0" w:evenHBand="0" w:firstRowFirstColumn="0" w:firstRowLastColumn="0" w:lastRowFirstColumn="0" w:lastRowLastColumn="0"/>
              <w:rPr>
                <w:sz w:val="20"/>
                <w:szCs w:val="20"/>
              </w:rPr>
            </w:pPr>
            <w:r w:rsidRPr="009528C9">
              <w:rPr>
                <w:b/>
                <w:bCs/>
                <w:sz w:val="20"/>
                <w:szCs w:val="20"/>
              </w:rPr>
              <w:t xml:space="preserve">Low Priority: </w:t>
            </w:r>
            <w:r w:rsidRPr="009528C9">
              <w:rPr>
                <w:sz w:val="20"/>
                <w:szCs w:val="20"/>
              </w:rPr>
              <w:t xml:space="preserve">Stakeholders voiced the need for consistency in programs while also ensuring that customers bearing the costs of the program have access to the benefits as well. While it is important, it is noted as low as it was agreed </w:t>
            </w:r>
            <w:r w:rsidR="0014083D">
              <w:rPr>
                <w:sz w:val="20"/>
                <w:szCs w:val="20"/>
              </w:rPr>
              <w:t>16 TAC §25.181</w:t>
            </w:r>
            <w:r w:rsidRPr="009528C9">
              <w:rPr>
                <w:sz w:val="20"/>
                <w:szCs w:val="20"/>
              </w:rPr>
              <w:t xml:space="preserve"> itself does not change, but this can be addressed through another process. </w:t>
            </w:r>
          </w:p>
        </w:tc>
      </w:tr>
    </w:tbl>
    <w:p w14:paraId="47E514B2" w14:textId="77777777" w:rsidR="003C263A" w:rsidRDefault="003C263A" w:rsidP="003C263A">
      <w:pPr>
        <w:rPr>
          <w:b/>
          <w:bCs/>
        </w:rPr>
      </w:pPr>
      <w:r>
        <w:t xml:space="preserve">For each identified key issue above, the following table summarizes areas of agreement, multiple perspectives expressed and changes that could be needed. </w:t>
      </w:r>
    </w:p>
    <w:tbl>
      <w:tblPr>
        <w:tblStyle w:val="GridTable4-Accent5"/>
        <w:tblW w:w="1014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484"/>
        <w:gridCol w:w="2021"/>
        <w:gridCol w:w="3293"/>
        <w:gridCol w:w="1893"/>
        <w:gridCol w:w="1450"/>
      </w:tblGrid>
      <w:tr w:rsidR="008F46B8" w:rsidRPr="009528C9" w14:paraId="23466D92" w14:textId="77777777" w:rsidTr="008F46B8">
        <w:trPr>
          <w:cnfStyle w:val="100000000000" w:firstRow="1" w:lastRow="0" w:firstColumn="0" w:lastColumn="0" w:oddVBand="0" w:evenVBand="0" w:oddHBand="0" w:evenHBand="0" w:firstRowFirstColumn="0" w:firstRowLastColumn="0" w:lastRowFirstColumn="0" w:lastRowLastColumn="0"/>
          <w:trHeight w:val="1325"/>
          <w:tblHeader/>
        </w:trPr>
        <w:tc>
          <w:tcPr>
            <w:cnfStyle w:val="001000000000" w:firstRow="0" w:lastRow="0" w:firstColumn="1" w:lastColumn="0" w:oddVBand="0" w:evenVBand="0" w:oddHBand="0" w:evenHBand="0" w:firstRowFirstColumn="0" w:firstRowLastColumn="0" w:lastRowFirstColumn="0" w:lastRowLastColumn="0"/>
            <w:tcW w:w="1484" w:type="dxa"/>
            <w:tcBorders>
              <w:top w:val="none" w:sz="0" w:space="0" w:color="auto"/>
              <w:left w:val="none" w:sz="0" w:space="0" w:color="auto"/>
              <w:bottom w:val="none" w:sz="0" w:space="0" w:color="auto"/>
              <w:right w:val="none" w:sz="0" w:space="0" w:color="auto"/>
            </w:tcBorders>
            <w:shd w:val="clear" w:color="auto" w:fill="25408F"/>
            <w:vAlign w:val="bottom"/>
          </w:tcPr>
          <w:p w14:paraId="3A57C3FC" w14:textId="6F06F66C" w:rsidR="008F46B8" w:rsidRPr="009528C9" w:rsidRDefault="008F46B8" w:rsidP="008F46B8">
            <w:pPr>
              <w:pStyle w:val="TT-TableHeading"/>
              <w:rPr>
                <w:b w:val="0"/>
                <w:bCs/>
                <w:szCs w:val="20"/>
              </w:rPr>
            </w:pPr>
            <w:r w:rsidRPr="00CF0A51">
              <w:t>Key issue</w:t>
            </w:r>
          </w:p>
        </w:tc>
        <w:tc>
          <w:tcPr>
            <w:tcW w:w="2021" w:type="dxa"/>
            <w:tcBorders>
              <w:top w:val="none" w:sz="0" w:space="0" w:color="auto"/>
              <w:left w:val="none" w:sz="0" w:space="0" w:color="auto"/>
              <w:bottom w:val="none" w:sz="0" w:space="0" w:color="auto"/>
              <w:right w:val="none" w:sz="0" w:space="0" w:color="auto"/>
            </w:tcBorders>
            <w:shd w:val="clear" w:color="auto" w:fill="25408F"/>
            <w:vAlign w:val="bottom"/>
          </w:tcPr>
          <w:p w14:paraId="540673C9" w14:textId="2217A6D6" w:rsidR="008F46B8" w:rsidRPr="009528C9" w:rsidRDefault="008F46B8" w:rsidP="008F46B8">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Areas of agreement</w:t>
            </w:r>
          </w:p>
        </w:tc>
        <w:tc>
          <w:tcPr>
            <w:tcW w:w="3293" w:type="dxa"/>
            <w:tcBorders>
              <w:top w:val="none" w:sz="0" w:space="0" w:color="auto"/>
              <w:left w:val="none" w:sz="0" w:space="0" w:color="auto"/>
              <w:bottom w:val="none" w:sz="0" w:space="0" w:color="auto"/>
              <w:right w:val="none" w:sz="0" w:space="0" w:color="auto"/>
            </w:tcBorders>
            <w:shd w:val="clear" w:color="auto" w:fill="25408F"/>
            <w:vAlign w:val="bottom"/>
          </w:tcPr>
          <w:p w14:paraId="1694CCAD" w14:textId="3559CA23" w:rsidR="008F46B8" w:rsidRPr="009528C9" w:rsidRDefault="008F46B8" w:rsidP="008F46B8">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Areas of debate</w:t>
            </w:r>
          </w:p>
        </w:tc>
        <w:tc>
          <w:tcPr>
            <w:tcW w:w="1893" w:type="dxa"/>
            <w:tcBorders>
              <w:top w:val="none" w:sz="0" w:space="0" w:color="auto"/>
              <w:left w:val="none" w:sz="0" w:space="0" w:color="auto"/>
              <w:bottom w:val="none" w:sz="0" w:space="0" w:color="auto"/>
              <w:right w:val="none" w:sz="0" w:space="0" w:color="auto"/>
            </w:tcBorders>
            <w:shd w:val="clear" w:color="auto" w:fill="25408F"/>
            <w:vAlign w:val="bottom"/>
          </w:tcPr>
          <w:p w14:paraId="657CB67A" w14:textId="7FE727AE" w:rsidR="008F46B8" w:rsidRPr="009528C9" w:rsidRDefault="008F46B8" w:rsidP="008F46B8">
            <w:pPr>
              <w:pStyle w:val="TT-TableHeading"/>
              <w:cnfStyle w:val="100000000000" w:firstRow="1" w:lastRow="0" w:firstColumn="0" w:lastColumn="0" w:oddVBand="0" w:evenVBand="0" w:oddHBand="0" w:evenHBand="0" w:firstRowFirstColumn="0" w:firstRowLastColumn="0" w:lastRowFirstColumn="0" w:lastRowLastColumn="0"/>
              <w:rPr>
                <w:b w:val="0"/>
                <w:bCs/>
                <w:szCs w:val="20"/>
              </w:rPr>
            </w:pPr>
            <w:r w:rsidRPr="00CF0A51">
              <w:t xml:space="preserve">Would this require legislation or rulemaking? If so, what? </w:t>
            </w:r>
          </w:p>
        </w:tc>
        <w:tc>
          <w:tcPr>
            <w:tcW w:w="1450" w:type="dxa"/>
            <w:tcBorders>
              <w:top w:val="none" w:sz="0" w:space="0" w:color="auto"/>
              <w:left w:val="none" w:sz="0" w:space="0" w:color="auto"/>
              <w:bottom w:val="none" w:sz="0" w:space="0" w:color="auto"/>
              <w:right w:val="none" w:sz="0" w:space="0" w:color="auto"/>
            </w:tcBorders>
            <w:shd w:val="clear" w:color="auto" w:fill="25408F"/>
            <w:vAlign w:val="bottom"/>
          </w:tcPr>
          <w:p w14:paraId="7C7157E9" w14:textId="73047345" w:rsidR="008F46B8" w:rsidRPr="009528C9" w:rsidRDefault="008F46B8" w:rsidP="008F46B8">
            <w:pPr>
              <w:pStyle w:val="TT-TableHeading"/>
              <w:cnfStyle w:val="100000000000" w:firstRow="1" w:lastRow="0" w:firstColumn="0" w:lastColumn="0" w:oddVBand="0" w:evenVBand="0" w:oddHBand="0" w:evenHBand="0" w:firstRowFirstColumn="0" w:firstRowLastColumn="0" w:lastRowFirstColumn="0" w:lastRowLastColumn="0"/>
              <w:rPr>
                <w:szCs w:val="20"/>
              </w:rPr>
            </w:pPr>
            <w:r w:rsidRPr="00CF0A51">
              <w:t>Could another process address?</w:t>
            </w:r>
          </w:p>
        </w:tc>
      </w:tr>
      <w:tr w:rsidR="003C263A" w:rsidRPr="009528C9" w14:paraId="0D8DE895" w14:textId="77777777" w:rsidTr="008F46B8">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484" w:type="dxa"/>
          </w:tcPr>
          <w:p w14:paraId="5FE6517B" w14:textId="77777777" w:rsidR="003C263A" w:rsidRPr="009528C9" w:rsidRDefault="003C263A" w:rsidP="00B55548">
            <w:pPr>
              <w:rPr>
                <w:sz w:val="20"/>
                <w:szCs w:val="20"/>
              </w:rPr>
            </w:pPr>
            <w:r w:rsidRPr="009528C9">
              <w:rPr>
                <w:sz w:val="20"/>
                <w:szCs w:val="20"/>
              </w:rPr>
              <w:t>Issue 1: Peak Definitions</w:t>
            </w:r>
          </w:p>
        </w:tc>
        <w:tc>
          <w:tcPr>
            <w:tcW w:w="2021" w:type="dxa"/>
          </w:tcPr>
          <w:p w14:paraId="21D0B48D"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rPr>
              <w:t>Narrowly defining peak inhibits innovation and problems not yet identified in a dynamic environment.</w:t>
            </w:r>
          </w:p>
          <w:p w14:paraId="5EAB4908"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p>
          <w:p w14:paraId="6C1DA081"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rPr>
              <w:t>Stakeholders documented that there is PUC effort to determine the most high-risk days utility DR programs could be designed to align with the market redesign.</w:t>
            </w:r>
          </w:p>
          <w:p w14:paraId="47A36495"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p>
        </w:tc>
        <w:tc>
          <w:tcPr>
            <w:tcW w:w="3293" w:type="dxa"/>
          </w:tcPr>
          <w:p w14:paraId="62567B5F"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u w:val="single"/>
              </w:rPr>
              <w:t>Perspective 1:</w:t>
            </w:r>
            <w:r w:rsidRPr="009528C9">
              <w:rPr>
                <w:sz w:val="20"/>
                <w:szCs w:val="20"/>
              </w:rPr>
              <w:t xml:space="preserve"> The current definition allows for peak shedding programs but limits the ability for load shifting programs and innovation for solving future grid problems with innovative technologies. (EVs, DERs, etc.).</w:t>
            </w:r>
          </w:p>
          <w:p w14:paraId="51884A37" w14:textId="0FED9E21"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u w:val="single"/>
              </w:rPr>
              <w:t>Perspective 2:</w:t>
            </w:r>
            <w:r w:rsidRPr="009528C9">
              <w:rPr>
                <w:sz w:val="20"/>
                <w:szCs w:val="20"/>
              </w:rPr>
              <w:t xml:space="preserve"> With innovative technologies, peak hours are shifting, and the current definitions may be out of date. This can be associated with the defined period but also excluding weekends and certain holidays. (</w:t>
            </w:r>
            <w:r w:rsidR="00387C0A" w:rsidRPr="009528C9">
              <w:rPr>
                <w:sz w:val="20"/>
                <w:szCs w:val="20"/>
              </w:rPr>
              <w:t>i.e.</w:t>
            </w:r>
            <w:r w:rsidR="00387C0A" w:rsidRPr="009528C9">
              <w:rPr>
                <w:sz w:val="20"/>
              </w:rPr>
              <w:t>,</w:t>
            </w:r>
            <w:r w:rsidRPr="009528C9">
              <w:rPr>
                <w:sz w:val="20"/>
                <w:szCs w:val="20"/>
              </w:rPr>
              <w:t xml:space="preserve"> expanded work shifts to weekends and working from home culture shifts).</w:t>
            </w:r>
          </w:p>
          <w:p w14:paraId="6AF529B1"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u w:val="single"/>
              </w:rPr>
              <w:t>Perspective 3:</w:t>
            </w:r>
            <w:r w:rsidRPr="009528C9">
              <w:rPr>
                <w:sz w:val="20"/>
                <w:szCs w:val="20"/>
              </w:rPr>
              <w:t xml:space="preserve"> The current definition is more aligned with “bulk system level”, not specific distribution level challenges.</w:t>
            </w:r>
          </w:p>
          <w:p w14:paraId="66980BD1" w14:textId="3A1D4E0F"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u w:val="single"/>
              </w:rPr>
              <w:t>Perspective 4:</w:t>
            </w:r>
            <w:r w:rsidRPr="009528C9">
              <w:rPr>
                <w:sz w:val="20"/>
                <w:szCs w:val="20"/>
              </w:rPr>
              <w:t xml:space="preserve"> The TDU DR programs should align with their distribution systems and solve their feeder/capacity challenges with a caveat incorporated such as when ERCOT calls an emergency “all hands are on deck”. In other words, a definition that complements ERCOT </w:t>
            </w:r>
            <w:r w:rsidR="00BA3F33">
              <w:rPr>
                <w:sz w:val="20"/>
                <w:szCs w:val="20"/>
              </w:rPr>
              <w:t>programs,</w:t>
            </w:r>
            <w:r w:rsidRPr="009528C9">
              <w:rPr>
                <w:sz w:val="20"/>
                <w:szCs w:val="20"/>
              </w:rPr>
              <w:t xml:space="preserve"> not competing with it.</w:t>
            </w:r>
          </w:p>
        </w:tc>
        <w:tc>
          <w:tcPr>
            <w:tcW w:w="1893" w:type="dxa"/>
          </w:tcPr>
          <w:p w14:paraId="720A3746" w14:textId="6E4AAE1B" w:rsidR="003C263A" w:rsidRPr="009528C9" w:rsidRDefault="004A570A" w:rsidP="00B55548">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3C263A" w:rsidRPr="009528C9">
              <w:rPr>
                <w:sz w:val="20"/>
                <w:szCs w:val="20"/>
              </w:rPr>
              <w:t>(a)(45): 1-7 PM June – September 6-10 PM December -February, excluding weekends and Federal holidays, can be called for grid emergency or system reliability.</w:t>
            </w:r>
          </w:p>
        </w:tc>
        <w:tc>
          <w:tcPr>
            <w:tcW w:w="1450" w:type="dxa"/>
          </w:tcPr>
          <w:p w14:paraId="0CF77D48"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p>
        </w:tc>
      </w:tr>
      <w:tr w:rsidR="008F46B8" w:rsidRPr="009528C9" w14:paraId="531450AC" w14:textId="77777777" w:rsidTr="008F46B8">
        <w:trPr>
          <w:trHeight w:val="253"/>
        </w:trPr>
        <w:tc>
          <w:tcPr>
            <w:cnfStyle w:val="001000000000" w:firstRow="0" w:lastRow="0" w:firstColumn="1" w:lastColumn="0" w:oddVBand="0" w:evenVBand="0" w:oddHBand="0" w:evenHBand="0" w:firstRowFirstColumn="0" w:firstRowLastColumn="0" w:lastRowFirstColumn="0" w:lastRowLastColumn="0"/>
            <w:tcW w:w="1484" w:type="dxa"/>
            <w:shd w:val="clear" w:color="auto" w:fill="25408F"/>
            <w:vAlign w:val="bottom"/>
          </w:tcPr>
          <w:p w14:paraId="5A8A437E" w14:textId="7ABEF1BA" w:rsidR="008F46B8" w:rsidRPr="009528C9" w:rsidRDefault="008F46B8" w:rsidP="008F46B8">
            <w:pPr>
              <w:pStyle w:val="TT-TableHeading"/>
            </w:pPr>
            <w:r w:rsidRPr="00CF0A51">
              <w:t>Key issue</w:t>
            </w:r>
          </w:p>
        </w:tc>
        <w:tc>
          <w:tcPr>
            <w:tcW w:w="2021" w:type="dxa"/>
            <w:shd w:val="clear" w:color="auto" w:fill="25408F"/>
            <w:vAlign w:val="bottom"/>
          </w:tcPr>
          <w:p w14:paraId="054C17A1" w14:textId="0A4C6AE7" w:rsidR="008F46B8" w:rsidRPr="009528C9"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CF0A51">
              <w:t>Areas of agreement</w:t>
            </w:r>
          </w:p>
        </w:tc>
        <w:tc>
          <w:tcPr>
            <w:tcW w:w="3293" w:type="dxa"/>
            <w:shd w:val="clear" w:color="auto" w:fill="25408F"/>
            <w:vAlign w:val="bottom"/>
          </w:tcPr>
          <w:p w14:paraId="53331E08" w14:textId="30ADDCFC" w:rsidR="008F46B8" w:rsidRPr="009528C9" w:rsidRDefault="008F46B8" w:rsidP="008F46B8">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CF0A51">
              <w:t>Areas of debate</w:t>
            </w:r>
          </w:p>
        </w:tc>
        <w:tc>
          <w:tcPr>
            <w:tcW w:w="1893" w:type="dxa"/>
            <w:shd w:val="clear" w:color="auto" w:fill="25408F"/>
            <w:vAlign w:val="bottom"/>
          </w:tcPr>
          <w:p w14:paraId="6B13E8A1" w14:textId="19038AD0" w:rsidR="008F46B8"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CF0A51">
              <w:t xml:space="preserve">Would this require legislation or rulemaking? If so, what? </w:t>
            </w:r>
          </w:p>
        </w:tc>
        <w:tc>
          <w:tcPr>
            <w:tcW w:w="1450" w:type="dxa"/>
            <w:shd w:val="clear" w:color="auto" w:fill="25408F"/>
            <w:vAlign w:val="bottom"/>
          </w:tcPr>
          <w:p w14:paraId="75D04C84" w14:textId="37F10A2E" w:rsidR="008F46B8" w:rsidRPr="009528C9"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CF0A51">
              <w:t>Could another process address?</w:t>
            </w:r>
          </w:p>
        </w:tc>
      </w:tr>
      <w:tr w:rsidR="003C263A" w:rsidRPr="009528C9" w14:paraId="6A54682D" w14:textId="77777777" w:rsidTr="008F46B8">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484" w:type="dxa"/>
            <w:shd w:val="clear" w:color="auto" w:fill="auto"/>
          </w:tcPr>
          <w:p w14:paraId="1820632A" w14:textId="77777777" w:rsidR="003C263A" w:rsidRPr="009528C9" w:rsidRDefault="003C263A" w:rsidP="00B55548">
            <w:pPr>
              <w:rPr>
                <w:sz w:val="20"/>
                <w:szCs w:val="20"/>
              </w:rPr>
            </w:pPr>
            <w:r w:rsidRPr="009528C9">
              <w:rPr>
                <w:sz w:val="20"/>
                <w:szCs w:val="20"/>
              </w:rPr>
              <w:t>Issue 2: Cost-effectiveness of programs</w:t>
            </w:r>
          </w:p>
        </w:tc>
        <w:tc>
          <w:tcPr>
            <w:tcW w:w="2021" w:type="dxa"/>
            <w:shd w:val="clear" w:color="auto" w:fill="auto"/>
          </w:tcPr>
          <w:p w14:paraId="2D88FD3A"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rPr>
              <w:t>Stakeholders agree we need to look at the true benefits DR programs offer and include them in the cost effectiveness calculations.</w:t>
            </w:r>
          </w:p>
          <w:p w14:paraId="7B677208"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p>
          <w:p w14:paraId="4A8EA68D"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p>
        </w:tc>
        <w:tc>
          <w:tcPr>
            <w:tcW w:w="3293" w:type="dxa"/>
            <w:shd w:val="clear" w:color="auto" w:fill="auto"/>
          </w:tcPr>
          <w:p w14:paraId="5D983C9F"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u w:val="single"/>
              </w:rPr>
              <w:t>Perspective 1:</w:t>
            </w:r>
            <w:r w:rsidRPr="009528C9">
              <w:rPr>
                <w:sz w:val="20"/>
                <w:szCs w:val="20"/>
              </w:rPr>
              <w:t xml:space="preserve"> The name Demand Response deters from its value. DR is more than just turning things down for a second. Maybe we change the name to Demand Management vs. Load Management</w:t>
            </w:r>
          </w:p>
          <w:p w14:paraId="119E1097"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u w:val="single"/>
              </w:rPr>
              <w:t>Perspective 2:</w:t>
            </w:r>
            <w:r w:rsidRPr="009528C9">
              <w:rPr>
                <w:sz w:val="20"/>
                <w:szCs w:val="20"/>
              </w:rPr>
              <w:t xml:space="preserve"> Including a T&amp;D cost avoidance figure along with the avoided cost of capacity.</w:t>
            </w:r>
          </w:p>
          <w:p w14:paraId="1F8FF66D" w14:textId="7E67371F" w:rsidR="003C263A" w:rsidRPr="009528C9" w:rsidRDefault="003C263A" w:rsidP="0037525A">
            <w:pPr>
              <w:cnfStyle w:val="000000100000" w:firstRow="0" w:lastRow="0" w:firstColumn="0" w:lastColumn="0" w:oddVBand="0" w:evenVBand="0" w:oddHBand="1" w:evenHBand="0" w:firstRowFirstColumn="0" w:firstRowLastColumn="0" w:lastRowFirstColumn="0" w:lastRowLastColumn="0"/>
              <w:rPr>
                <w:sz w:val="20"/>
                <w:szCs w:val="20"/>
                <w:u w:val="single"/>
              </w:rPr>
            </w:pPr>
            <w:r w:rsidRPr="009528C9">
              <w:rPr>
                <w:sz w:val="20"/>
                <w:szCs w:val="20"/>
                <w:u w:val="single"/>
              </w:rPr>
              <w:t>Perspective 3:</w:t>
            </w:r>
            <w:r w:rsidRPr="009528C9">
              <w:rPr>
                <w:sz w:val="20"/>
                <w:szCs w:val="20"/>
              </w:rPr>
              <w:t xml:space="preserve"> The cost of carbon should be included in the cost effectiveness calculations.</w:t>
            </w:r>
          </w:p>
        </w:tc>
        <w:tc>
          <w:tcPr>
            <w:tcW w:w="1893" w:type="dxa"/>
            <w:shd w:val="clear" w:color="auto" w:fill="auto"/>
          </w:tcPr>
          <w:p w14:paraId="70ED7109" w14:textId="032275CE" w:rsidR="003C263A" w:rsidRPr="009528C9" w:rsidRDefault="004A570A" w:rsidP="00B55548">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3C263A" w:rsidRPr="009528C9">
              <w:rPr>
                <w:sz w:val="20"/>
                <w:szCs w:val="20"/>
              </w:rPr>
              <w:t xml:space="preserve">(d) Cost-effectiveness standard defines benefits as energy savings and demand reductions as calculated with the avoided costs. </w:t>
            </w:r>
          </w:p>
          <w:p w14:paraId="6016645F"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p>
          <w:p w14:paraId="56158553"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p>
        </w:tc>
        <w:tc>
          <w:tcPr>
            <w:tcW w:w="1450" w:type="dxa"/>
            <w:shd w:val="clear" w:color="auto" w:fill="auto"/>
          </w:tcPr>
          <w:p w14:paraId="12A8A1D0"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p>
        </w:tc>
      </w:tr>
      <w:tr w:rsidR="003C263A" w:rsidRPr="009528C9" w14:paraId="1C235E8E" w14:textId="77777777" w:rsidTr="008F46B8">
        <w:trPr>
          <w:trHeight w:val="253"/>
        </w:trPr>
        <w:tc>
          <w:tcPr>
            <w:cnfStyle w:val="001000000000" w:firstRow="0" w:lastRow="0" w:firstColumn="1" w:lastColumn="0" w:oddVBand="0" w:evenVBand="0" w:oddHBand="0" w:evenHBand="0" w:firstRowFirstColumn="0" w:firstRowLastColumn="0" w:lastRowFirstColumn="0" w:lastRowLastColumn="0"/>
            <w:tcW w:w="1484" w:type="dxa"/>
            <w:shd w:val="clear" w:color="auto" w:fill="DAEEF3" w:themeFill="accent5" w:themeFillTint="33"/>
          </w:tcPr>
          <w:p w14:paraId="432D685B" w14:textId="77777777" w:rsidR="003C263A" w:rsidRPr="009528C9" w:rsidRDefault="003C263A" w:rsidP="008F46B8">
            <w:pPr>
              <w:keepNext/>
              <w:keepLines/>
              <w:rPr>
                <w:sz w:val="20"/>
                <w:szCs w:val="20"/>
              </w:rPr>
            </w:pPr>
            <w:r w:rsidRPr="009528C9">
              <w:rPr>
                <w:sz w:val="20"/>
                <w:szCs w:val="20"/>
              </w:rPr>
              <w:t>Issue 2: Cost of programs</w:t>
            </w:r>
          </w:p>
        </w:tc>
        <w:tc>
          <w:tcPr>
            <w:tcW w:w="2021" w:type="dxa"/>
            <w:shd w:val="clear" w:color="auto" w:fill="DAEEF3" w:themeFill="accent5" w:themeFillTint="33"/>
          </w:tcPr>
          <w:p w14:paraId="40093503"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9528C9">
              <w:rPr>
                <w:sz w:val="20"/>
                <w:szCs w:val="20"/>
              </w:rPr>
              <w:t xml:space="preserve">Stakeholders agree customer cost caps are limiting program innovations and offerings. </w:t>
            </w:r>
          </w:p>
          <w:p w14:paraId="3C4398A5"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p>
          <w:p w14:paraId="0843C2A5"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c>
          <w:tcPr>
            <w:tcW w:w="3293" w:type="dxa"/>
            <w:shd w:val="clear" w:color="auto" w:fill="DAEEF3" w:themeFill="accent5" w:themeFillTint="33"/>
          </w:tcPr>
          <w:p w14:paraId="2A8ED91C"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9528C9">
              <w:rPr>
                <w:sz w:val="20"/>
                <w:szCs w:val="20"/>
                <w:u w:val="single"/>
              </w:rPr>
              <w:t>Perspective 1:</w:t>
            </w:r>
            <w:r w:rsidRPr="009528C9">
              <w:rPr>
                <w:sz w:val="20"/>
                <w:szCs w:val="20"/>
              </w:rPr>
              <w:t xml:space="preserve"> At least one utility is running DR programs outside of their EE programs due to Customer Cost Caps. </w:t>
            </w:r>
          </w:p>
          <w:p w14:paraId="452BBE3F"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p>
          <w:p w14:paraId="3A2E3DC5"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u w:val="single"/>
              </w:rPr>
            </w:pPr>
            <w:r w:rsidRPr="009528C9">
              <w:rPr>
                <w:sz w:val="20"/>
                <w:szCs w:val="20"/>
                <w:u w:val="single"/>
              </w:rPr>
              <w:t>Perspective 2:</w:t>
            </w:r>
            <w:r w:rsidRPr="009528C9">
              <w:rPr>
                <w:sz w:val="20"/>
                <w:szCs w:val="20"/>
              </w:rPr>
              <w:t xml:space="preserve"> With the Admin Cost Caps it causes a barrier to program innovation as there are significant startup costs associated with new programs.</w:t>
            </w:r>
          </w:p>
          <w:p w14:paraId="1B0481F7"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u w:val="single"/>
              </w:rPr>
            </w:pPr>
          </w:p>
          <w:p w14:paraId="16FA9A94"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u w:val="single"/>
              </w:rPr>
            </w:pPr>
          </w:p>
        </w:tc>
        <w:tc>
          <w:tcPr>
            <w:tcW w:w="1893" w:type="dxa"/>
            <w:shd w:val="clear" w:color="auto" w:fill="DAEEF3" w:themeFill="accent5" w:themeFillTint="33"/>
          </w:tcPr>
          <w:p w14:paraId="7C0F4F1E" w14:textId="5D59C906" w:rsidR="0037525A" w:rsidRDefault="005854C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w:t>
            </w:r>
            <w:r w:rsidR="003C263A" w:rsidRPr="009528C9">
              <w:rPr>
                <w:sz w:val="20"/>
                <w:szCs w:val="20"/>
              </w:rPr>
              <w:t>25.182 (d)(7) Cost Caps for 2019 and after increases by CPI. 2018 base is $0.001263 per kWh; for commercial $0.000790 per kWh.</w:t>
            </w:r>
          </w:p>
          <w:p w14:paraId="48E129DF" w14:textId="25213D8E" w:rsidR="003C263A" w:rsidRPr="009528C9" w:rsidRDefault="004A570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3C263A" w:rsidRPr="009528C9">
              <w:rPr>
                <w:sz w:val="20"/>
                <w:szCs w:val="20"/>
              </w:rPr>
              <w:t>(i) cost of administration not to exceed 15% of a utility’s total program costs. The cost of R&amp;D not to exceed 10% of a utility’s total program costs. Total of both cannot exceed 20%.</w:t>
            </w:r>
          </w:p>
          <w:p w14:paraId="01102356"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c>
          <w:tcPr>
            <w:tcW w:w="1450" w:type="dxa"/>
            <w:shd w:val="clear" w:color="auto" w:fill="DAEEF3" w:themeFill="accent5" w:themeFillTint="33"/>
          </w:tcPr>
          <w:p w14:paraId="63284D1E" w14:textId="77777777" w:rsidR="003C263A" w:rsidRPr="009528C9" w:rsidRDefault="003C263A"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r>
      <w:tr w:rsidR="003C263A" w:rsidRPr="009528C9" w14:paraId="582BA746" w14:textId="77777777" w:rsidTr="008F46B8">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484" w:type="dxa"/>
            <w:shd w:val="clear" w:color="auto" w:fill="auto"/>
          </w:tcPr>
          <w:p w14:paraId="13EF26AF" w14:textId="77777777" w:rsidR="003C263A" w:rsidRPr="009528C9" w:rsidRDefault="003C263A" w:rsidP="00B55548">
            <w:pPr>
              <w:rPr>
                <w:sz w:val="20"/>
                <w:szCs w:val="20"/>
              </w:rPr>
            </w:pPr>
            <w:r w:rsidRPr="009528C9">
              <w:rPr>
                <w:sz w:val="20"/>
                <w:szCs w:val="20"/>
              </w:rPr>
              <w:t>Issue 3: Process to coordinate and innovate</w:t>
            </w:r>
          </w:p>
        </w:tc>
        <w:tc>
          <w:tcPr>
            <w:tcW w:w="2021" w:type="dxa"/>
            <w:shd w:val="clear" w:color="auto" w:fill="auto"/>
          </w:tcPr>
          <w:p w14:paraId="58ABCAC9"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rPr>
              <w:t xml:space="preserve">Stakeholders agree more can be done to educate/market demand response programs to customers. </w:t>
            </w:r>
          </w:p>
        </w:tc>
        <w:tc>
          <w:tcPr>
            <w:tcW w:w="3293" w:type="dxa"/>
            <w:shd w:val="clear" w:color="auto" w:fill="auto"/>
          </w:tcPr>
          <w:p w14:paraId="518F583C"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u w:val="single"/>
              </w:rPr>
              <w:t>Perspective 1:</w:t>
            </w:r>
            <w:r w:rsidRPr="009528C9">
              <w:rPr>
                <w:sz w:val="20"/>
                <w:szCs w:val="20"/>
              </w:rPr>
              <w:t xml:space="preserve"> All customers are bearing the costs of these programs but not benefiting from them.</w:t>
            </w:r>
          </w:p>
          <w:p w14:paraId="37FAD570"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u w:val="single"/>
              </w:rPr>
              <w:t>Perspective 2:</w:t>
            </w:r>
            <w:r w:rsidRPr="009528C9">
              <w:rPr>
                <w:sz w:val="20"/>
                <w:szCs w:val="20"/>
              </w:rPr>
              <w:t xml:space="preserve"> DR programs are complex – we are asking customers to change their behavior not just install a new piece of equipment and forget about it. </w:t>
            </w:r>
          </w:p>
          <w:p w14:paraId="656EA565"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u w:val="single"/>
              </w:rPr>
              <w:t xml:space="preserve">Perspective 3: </w:t>
            </w:r>
            <w:r w:rsidRPr="009528C9">
              <w:rPr>
                <w:sz w:val="20"/>
                <w:szCs w:val="20"/>
              </w:rPr>
              <w:t xml:space="preserve">These programs require a strong relationship to educate the customer on what they are signing up for. </w:t>
            </w:r>
          </w:p>
          <w:p w14:paraId="231C0F65" w14:textId="453E7122"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r w:rsidRPr="009528C9">
              <w:rPr>
                <w:sz w:val="20"/>
                <w:szCs w:val="20"/>
                <w:u w:val="single"/>
              </w:rPr>
              <w:t>Perspective 4:</w:t>
            </w:r>
            <w:r w:rsidRPr="009528C9">
              <w:rPr>
                <w:sz w:val="20"/>
                <w:szCs w:val="20"/>
              </w:rPr>
              <w:t xml:space="preserve"> Consider a metric that captures the value of DR and EE measure integration and coordination with other parties. (i.e., a programmable thermostat provides both DR and EE benefits, thermostats delivered through REPs).</w:t>
            </w:r>
          </w:p>
        </w:tc>
        <w:tc>
          <w:tcPr>
            <w:tcW w:w="1893" w:type="dxa"/>
            <w:shd w:val="clear" w:color="auto" w:fill="auto"/>
          </w:tcPr>
          <w:p w14:paraId="06876425"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p>
        </w:tc>
        <w:tc>
          <w:tcPr>
            <w:tcW w:w="1450" w:type="dxa"/>
            <w:shd w:val="clear" w:color="auto" w:fill="auto"/>
          </w:tcPr>
          <w:p w14:paraId="131999BD" w14:textId="77777777" w:rsidR="003C263A" w:rsidRPr="009528C9" w:rsidRDefault="003C263A" w:rsidP="00B55548">
            <w:pPr>
              <w:cnfStyle w:val="000000100000" w:firstRow="0" w:lastRow="0" w:firstColumn="0" w:lastColumn="0" w:oddVBand="0" w:evenVBand="0" w:oddHBand="1" w:evenHBand="0" w:firstRowFirstColumn="0" w:firstRowLastColumn="0" w:lastRowFirstColumn="0" w:lastRowLastColumn="0"/>
              <w:rPr>
                <w:sz w:val="20"/>
                <w:szCs w:val="20"/>
              </w:rPr>
            </w:pPr>
          </w:p>
        </w:tc>
      </w:tr>
    </w:tbl>
    <w:p w14:paraId="1A8CB998" w14:textId="0E4D2B76" w:rsidR="00C2252B" w:rsidRDefault="00C2252B" w:rsidP="00C2252B">
      <w:pPr>
        <w:pStyle w:val="Heading3"/>
      </w:pPr>
      <w:r w:rsidRPr="00F50528">
        <w:t xml:space="preserve">Session </w:t>
      </w:r>
      <w:r>
        <w:t>4</w:t>
      </w:r>
      <w:r w:rsidRPr="00F50528">
        <w:t xml:space="preserve"> </w:t>
      </w:r>
      <w:r>
        <w:t>March 8</w:t>
      </w:r>
      <w:r w:rsidRPr="00F50528">
        <w:t>, 2023</w:t>
      </w:r>
    </w:p>
    <w:p w14:paraId="1AB356FD" w14:textId="349F6697" w:rsidR="008D3AEF" w:rsidRPr="00113A81" w:rsidRDefault="00105507" w:rsidP="00113A81">
      <w:pPr>
        <w:rPr>
          <w:b/>
          <w:bCs/>
          <w:sz w:val="20"/>
        </w:rPr>
      </w:pPr>
      <w:r w:rsidRPr="00113A81">
        <w:rPr>
          <w:rStyle w:val="normaltextrun"/>
          <w:color w:val="000000"/>
          <w:szCs w:val="22"/>
          <w:shd w:val="clear" w:color="auto" w:fill="FFFFFF"/>
        </w:rPr>
        <w:t>The Demand Response work</w:t>
      </w:r>
      <w:r w:rsidR="007F417E" w:rsidRPr="00113A81">
        <w:rPr>
          <w:rStyle w:val="normaltextrun"/>
          <w:color w:val="000000"/>
          <w:szCs w:val="22"/>
          <w:shd w:val="clear" w:color="auto" w:fill="FFFFFF"/>
        </w:rPr>
        <w:t>ing</w:t>
      </w:r>
      <w:r w:rsidRPr="00113A81">
        <w:rPr>
          <w:rStyle w:val="normaltextrun"/>
          <w:color w:val="000000"/>
          <w:szCs w:val="22"/>
          <w:shd w:val="clear" w:color="auto" w:fill="FFFFFF"/>
        </w:rPr>
        <w:t xml:space="preserve"> group focused on discussing a recap of Best Practices with word smithing and sharing Overarching Themes that emerged during all the workshops.</w:t>
      </w:r>
      <w:r w:rsidR="00E50D53">
        <w:rPr>
          <w:rStyle w:val="normaltextrun"/>
          <w:color w:val="000000"/>
          <w:szCs w:val="22"/>
          <w:shd w:val="clear" w:color="auto" w:fill="FFFFFF"/>
        </w:rPr>
        <w:t xml:space="preserve"> In addition, the facilitator discussed the </w:t>
      </w:r>
      <w:r w:rsidR="00044145">
        <w:rPr>
          <w:rStyle w:val="normaltextrun"/>
          <w:color w:val="000000"/>
          <w:szCs w:val="22"/>
          <w:shd w:val="clear" w:color="auto" w:fill="FFFFFF"/>
        </w:rPr>
        <w:t xml:space="preserve">session </w:t>
      </w:r>
      <w:r w:rsidR="00E50D53">
        <w:rPr>
          <w:rStyle w:val="normaltextrun"/>
          <w:color w:val="000000"/>
          <w:szCs w:val="22"/>
          <w:shd w:val="clear" w:color="auto" w:fill="FFFFFF"/>
        </w:rPr>
        <w:t>summary tables and review process for the EEIP progress update</w:t>
      </w:r>
      <w:r w:rsidR="00044145">
        <w:rPr>
          <w:rStyle w:val="normaltextrun"/>
          <w:color w:val="000000"/>
          <w:szCs w:val="22"/>
          <w:shd w:val="clear" w:color="auto" w:fill="FFFFFF"/>
        </w:rPr>
        <w:t>.</w:t>
      </w:r>
      <w:r w:rsidR="00E50D53">
        <w:rPr>
          <w:rStyle w:val="normaltextrun"/>
          <w:color w:val="000000"/>
          <w:szCs w:val="22"/>
          <w:shd w:val="clear" w:color="auto" w:fill="FFFFFF"/>
        </w:rPr>
        <w:t xml:space="preserve"> </w:t>
      </w:r>
    </w:p>
    <w:p w14:paraId="6A911418" w14:textId="1BE1C82F" w:rsidR="002E75F8" w:rsidRDefault="002E75F8" w:rsidP="002E75F8">
      <w:pPr>
        <w:pStyle w:val="Heading2"/>
      </w:pPr>
      <w:r>
        <w:t>Program Planning</w:t>
      </w:r>
    </w:p>
    <w:p w14:paraId="73480BAF" w14:textId="77A2C1D4" w:rsidR="00FB7D60" w:rsidRPr="000A670E" w:rsidRDefault="009B1EAB" w:rsidP="00FB7D60">
      <w:pPr>
        <w:rPr>
          <w:b/>
          <w:bCs/>
          <w:sz w:val="24"/>
          <w:szCs w:val="24"/>
        </w:rPr>
      </w:pPr>
      <w:r w:rsidRPr="000A670E">
        <w:rPr>
          <w:b/>
          <w:bCs/>
          <w:sz w:val="24"/>
          <w:szCs w:val="24"/>
        </w:rPr>
        <w:t>Session 1 January 26, 2023</w:t>
      </w:r>
      <w:r w:rsidR="007B7E59">
        <w:rPr>
          <w:b/>
          <w:bCs/>
          <w:sz w:val="24"/>
          <w:szCs w:val="24"/>
        </w:rPr>
        <w:t>:</w:t>
      </w:r>
      <w:r w:rsidR="007B7E59" w:rsidRPr="007B7E59">
        <w:rPr>
          <w:b/>
          <w:bCs/>
          <w:sz w:val="24"/>
          <w:szCs w:val="24"/>
        </w:rPr>
        <w:t xml:space="preserve"> Planning Cycle </w:t>
      </w:r>
    </w:p>
    <w:p w14:paraId="2DF51C9B" w14:textId="56C70458" w:rsidR="00FB7D60" w:rsidRPr="000A670E" w:rsidRDefault="00FB7D60" w:rsidP="00FB7D60">
      <w:r w:rsidRPr="000A670E">
        <w:t>The table below summarizes the key issues identified and places a priority/level of effort for addressing the issue in a rulemaking</w:t>
      </w:r>
      <w:r w:rsidR="007B7E59">
        <w:t xml:space="preserve"> and/or legislative change</w:t>
      </w:r>
      <w:r w:rsidRPr="000A670E">
        <w:t xml:space="preserve">. </w:t>
      </w:r>
    </w:p>
    <w:tbl>
      <w:tblPr>
        <w:tblStyle w:val="GridTable4-Accent5"/>
        <w:tblW w:w="100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70"/>
        <w:gridCol w:w="4425"/>
        <w:gridCol w:w="3780"/>
      </w:tblGrid>
      <w:tr w:rsidR="00FB7D60" w14:paraId="3ACFB7A0" w14:textId="77777777" w:rsidTr="008F46B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70" w:type="dxa"/>
            <w:tcBorders>
              <w:top w:val="none" w:sz="0" w:space="0" w:color="auto"/>
              <w:left w:val="none" w:sz="0" w:space="0" w:color="auto"/>
              <w:bottom w:val="none" w:sz="0" w:space="0" w:color="auto"/>
              <w:right w:val="none" w:sz="0" w:space="0" w:color="auto"/>
            </w:tcBorders>
            <w:shd w:val="clear" w:color="auto" w:fill="25408F"/>
          </w:tcPr>
          <w:p w14:paraId="2F572CAB" w14:textId="77777777" w:rsidR="00FB7D60" w:rsidRPr="00424F59" w:rsidRDefault="00FB7D60" w:rsidP="008F46B8">
            <w:pPr>
              <w:pStyle w:val="TT-TableHeading"/>
            </w:pPr>
            <w:r w:rsidRPr="00424F59">
              <w:t>Issue</w:t>
            </w:r>
          </w:p>
        </w:tc>
        <w:tc>
          <w:tcPr>
            <w:tcW w:w="4425" w:type="dxa"/>
            <w:tcBorders>
              <w:top w:val="none" w:sz="0" w:space="0" w:color="auto"/>
              <w:left w:val="none" w:sz="0" w:space="0" w:color="auto"/>
              <w:bottom w:val="none" w:sz="0" w:space="0" w:color="auto"/>
              <w:right w:val="none" w:sz="0" w:space="0" w:color="auto"/>
            </w:tcBorders>
            <w:shd w:val="clear" w:color="auto" w:fill="25408F"/>
          </w:tcPr>
          <w:p w14:paraId="3E59651A" w14:textId="77777777" w:rsidR="00FB7D60" w:rsidRPr="00AC0AA2" w:rsidRDefault="00FB7D60" w:rsidP="008F46B8">
            <w:pPr>
              <w:pStyle w:val="TT-TableHeading"/>
              <w:cnfStyle w:val="100000000000" w:firstRow="1" w:lastRow="0" w:firstColumn="0" w:lastColumn="0" w:oddVBand="0" w:evenVBand="0" w:oddHBand="0" w:evenHBand="0" w:firstRowFirstColumn="0" w:firstRowLastColumn="0" w:lastRowFirstColumn="0" w:lastRowLastColumn="0"/>
              <w:rPr>
                <w:b w:val="0"/>
                <w:bCs/>
              </w:rPr>
            </w:pPr>
            <w:r w:rsidRPr="00AC0AA2">
              <w:rPr>
                <w:b w:val="0"/>
              </w:rPr>
              <w:t>Summary</w:t>
            </w:r>
          </w:p>
        </w:tc>
        <w:tc>
          <w:tcPr>
            <w:tcW w:w="3780" w:type="dxa"/>
            <w:tcBorders>
              <w:top w:val="none" w:sz="0" w:space="0" w:color="auto"/>
              <w:left w:val="none" w:sz="0" w:space="0" w:color="auto"/>
              <w:bottom w:val="none" w:sz="0" w:space="0" w:color="auto"/>
              <w:right w:val="none" w:sz="0" w:space="0" w:color="auto"/>
            </w:tcBorders>
            <w:shd w:val="clear" w:color="auto" w:fill="25408F"/>
          </w:tcPr>
          <w:p w14:paraId="06886D24" w14:textId="10512B8D" w:rsidR="00FB7D60" w:rsidRPr="00AC0AA2" w:rsidRDefault="00FB7D60" w:rsidP="008F46B8">
            <w:pPr>
              <w:pStyle w:val="TT-TableHeading"/>
              <w:cnfStyle w:val="100000000000" w:firstRow="1" w:lastRow="0" w:firstColumn="0" w:lastColumn="0" w:oddVBand="0" w:evenVBand="0" w:oddHBand="0" w:evenHBand="0" w:firstRowFirstColumn="0" w:firstRowLastColumn="0" w:lastRowFirstColumn="0" w:lastRowLastColumn="0"/>
              <w:rPr>
                <w:b w:val="0"/>
                <w:bCs/>
              </w:rPr>
            </w:pPr>
            <w:r w:rsidRPr="00AC0AA2">
              <w:rPr>
                <w:b w:val="0"/>
              </w:rPr>
              <w:t xml:space="preserve">Working Group </w:t>
            </w:r>
            <w:r w:rsidR="008F46B8" w:rsidRPr="00AC0AA2">
              <w:rPr>
                <w:b w:val="0"/>
              </w:rPr>
              <w:t>priority and why</w:t>
            </w:r>
          </w:p>
        </w:tc>
      </w:tr>
      <w:tr w:rsidR="00FB7D60" w14:paraId="70FBF583" w14:textId="77777777" w:rsidTr="008F46B8">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1870" w:type="dxa"/>
          </w:tcPr>
          <w:p w14:paraId="4DC43BC8" w14:textId="77777777" w:rsidR="00FB7D60" w:rsidRPr="00424F59" w:rsidRDefault="00FB7D60">
            <w:pPr>
              <w:rPr>
                <w:sz w:val="20"/>
                <w:szCs w:val="20"/>
              </w:rPr>
            </w:pPr>
            <w:r w:rsidRPr="00424F59">
              <w:rPr>
                <w:sz w:val="20"/>
                <w:szCs w:val="20"/>
              </w:rPr>
              <w:t>Issue 1: Planning Cycle</w:t>
            </w:r>
          </w:p>
        </w:tc>
        <w:tc>
          <w:tcPr>
            <w:tcW w:w="4425" w:type="dxa"/>
          </w:tcPr>
          <w:p w14:paraId="7C364C82" w14:textId="08957F7F"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AC0AA2">
              <w:rPr>
                <w:sz w:val="20"/>
                <w:szCs w:val="20"/>
              </w:rPr>
              <w:t xml:space="preserve">PURA and </w:t>
            </w:r>
            <w:r w:rsidR="0014083D">
              <w:rPr>
                <w:sz w:val="20"/>
                <w:szCs w:val="20"/>
              </w:rPr>
              <w:t>16 TAC §25.181</w:t>
            </w:r>
            <w:r w:rsidRPr="00AC0AA2">
              <w:rPr>
                <w:sz w:val="20"/>
                <w:szCs w:val="20"/>
              </w:rPr>
              <w:t xml:space="preserve"> require an annual energy efficiency plan and report (EEPR) to be filed on or before April 1 of each year.  </w:t>
            </w:r>
          </w:p>
        </w:tc>
        <w:tc>
          <w:tcPr>
            <w:tcW w:w="3780" w:type="dxa"/>
          </w:tcPr>
          <w:p w14:paraId="4A2203CC" w14:textId="77777777"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7B7E59">
              <w:rPr>
                <w:b/>
                <w:bCs/>
                <w:sz w:val="20"/>
                <w:szCs w:val="20"/>
              </w:rPr>
              <w:t>High Priority:</w:t>
            </w:r>
            <w:r w:rsidRPr="00AC0AA2">
              <w:rPr>
                <w:sz w:val="20"/>
                <w:szCs w:val="20"/>
              </w:rPr>
              <w:t xml:space="preserve"> Stakeholders identified the need to review the planning cycle voicing the following reasons:  </w:t>
            </w:r>
          </w:p>
          <w:p w14:paraId="15F88A98" w14:textId="77777777" w:rsidR="00FB7D60" w:rsidRPr="00AC0AA2" w:rsidRDefault="00FB7D60" w:rsidP="00FB7D6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C0AA2">
              <w:rPr>
                <w:rFonts w:ascii="Arial" w:hAnsi="Arial" w:cs="Arial"/>
                <w:sz w:val="20"/>
                <w:szCs w:val="20"/>
              </w:rPr>
              <w:t>reduce administrative burden,</w:t>
            </w:r>
          </w:p>
          <w:p w14:paraId="7AE9A8C1" w14:textId="77777777" w:rsidR="00FB7D60" w:rsidRPr="00AC0AA2" w:rsidRDefault="00FB7D60" w:rsidP="00FB7D60">
            <w:pPr>
              <w:pStyle w:val="ListParagraph"/>
              <w:numPr>
                <w:ilvl w:val="0"/>
                <w:numId w:val="35"/>
              </w:num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AC0AA2">
              <w:rPr>
                <w:rFonts w:ascii="Arial" w:hAnsi="Arial" w:cs="Arial"/>
                <w:sz w:val="20"/>
                <w:szCs w:val="20"/>
              </w:rPr>
              <w:t>encourage forward-thinking, and align timeline with published avoided costs calculations.</w:t>
            </w:r>
          </w:p>
        </w:tc>
      </w:tr>
      <w:tr w:rsidR="008F46B8" w14:paraId="4B3E91AF" w14:textId="77777777" w:rsidTr="008F46B8">
        <w:trPr>
          <w:trHeight w:val="395"/>
        </w:trPr>
        <w:tc>
          <w:tcPr>
            <w:cnfStyle w:val="001000000000" w:firstRow="0" w:lastRow="0" w:firstColumn="1" w:lastColumn="0" w:oddVBand="0" w:evenVBand="0" w:oddHBand="0" w:evenHBand="0" w:firstRowFirstColumn="0" w:firstRowLastColumn="0" w:lastRowFirstColumn="0" w:lastRowLastColumn="0"/>
            <w:tcW w:w="1870" w:type="dxa"/>
            <w:shd w:val="clear" w:color="auto" w:fill="25408F"/>
          </w:tcPr>
          <w:p w14:paraId="6E36C1F6" w14:textId="3F9E5974" w:rsidR="008F46B8" w:rsidRPr="00424F59" w:rsidRDefault="008F46B8" w:rsidP="008F46B8">
            <w:pPr>
              <w:pStyle w:val="TT-TableHeading"/>
            </w:pPr>
            <w:r w:rsidRPr="00424F59">
              <w:t>Issue</w:t>
            </w:r>
          </w:p>
        </w:tc>
        <w:tc>
          <w:tcPr>
            <w:tcW w:w="4425" w:type="dxa"/>
            <w:shd w:val="clear" w:color="auto" w:fill="25408F"/>
          </w:tcPr>
          <w:p w14:paraId="45BBEB49" w14:textId="38DA7D6D" w:rsidR="008F46B8" w:rsidRPr="00AC0AA2"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AC0AA2">
              <w:t>Summary</w:t>
            </w:r>
          </w:p>
        </w:tc>
        <w:tc>
          <w:tcPr>
            <w:tcW w:w="3780" w:type="dxa"/>
            <w:shd w:val="clear" w:color="auto" w:fill="25408F"/>
          </w:tcPr>
          <w:p w14:paraId="553E1F2B" w14:textId="310A809C" w:rsidR="008F46B8" w:rsidRPr="007B7E59"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AC0AA2">
              <w:t>Working Group priority and why</w:t>
            </w:r>
          </w:p>
        </w:tc>
      </w:tr>
      <w:tr w:rsidR="00FB7D60" w14:paraId="63938BD2" w14:textId="77777777" w:rsidTr="008F46B8">
        <w:trPr>
          <w:cnfStyle w:val="000000100000" w:firstRow="0" w:lastRow="0" w:firstColumn="0" w:lastColumn="0" w:oddVBand="0" w:evenVBand="0" w:oddHBand="1" w:evenHBand="0" w:firstRowFirstColumn="0" w:firstRowLastColumn="0" w:lastRowFirstColumn="0" w:lastRowLastColumn="0"/>
          <w:trHeight w:val="125"/>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14:paraId="0D06971B" w14:textId="77777777" w:rsidR="00FB7D60" w:rsidRPr="00424F59" w:rsidRDefault="00FB7D60">
            <w:pPr>
              <w:rPr>
                <w:sz w:val="20"/>
                <w:szCs w:val="20"/>
              </w:rPr>
            </w:pPr>
            <w:r w:rsidRPr="00424F59">
              <w:rPr>
                <w:sz w:val="20"/>
                <w:szCs w:val="20"/>
              </w:rPr>
              <w:t>Issue 2: EM&amp;V Cycle</w:t>
            </w:r>
          </w:p>
        </w:tc>
        <w:tc>
          <w:tcPr>
            <w:tcW w:w="4425" w:type="dxa"/>
            <w:shd w:val="clear" w:color="auto" w:fill="FFFFFF" w:themeFill="background1"/>
          </w:tcPr>
          <w:p w14:paraId="50DFABAB" w14:textId="665A4268" w:rsidR="00FB7D60" w:rsidRPr="00AC0AA2" w:rsidRDefault="004A570A">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FB7D60" w:rsidRPr="00AC0AA2">
              <w:rPr>
                <w:sz w:val="20"/>
                <w:szCs w:val="20"/>
              </w:rPr>
              <w:t xml:space="preserve">(o) defines the EM&amp;V framework, which ensures that the programs are evaluated, measured, and verified using a consistent process that accurately estimates energy savings. </w:t>
            </w:r>
          </w:p>
        </w:tc>
        <w:tc>
          <w:tcPr>
            <w:tcW w:w="3780" w:type="dxa"/>
            <w:shd w:val="clear" w:color="auto" w:fill="FFFFFF" w:themeFill="background1"/>
          </w:tcPr>
          <w:p w14:paraId="2FC99630" w14:textId="77777777"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7B7E59">
              <w:rPr>
                <w:b/>
                <w:bCs/>
                <w:sz w:val="20"/>
                <w:szCs w:val="20"/>
              </w:rPr>
              <w:t>Low Priority:</w:t>
            </w:r>
            <w:r w:rsidRPr="00AC0AA2">
              <w:rPr>
                <w:sz w:val="20"/>
                <w:szCs w:val="20"/>
              </w:rPr>
              <w:t xml:space="preserve"> Stakeholders identified the need to review the frequency of the EM&amp;V cycle to lower administrative burden.</w:t>
            </w:r>
          </w:p>
        </w:tc>
      </w:tr>
      <w:tr w:rsidR="008F46B8" w14:paraId="10AD32A7" w14:textId="77777777" w:rsidTr="008F46B8">
        <w:trPr>
          <w:trHeight w:val="125"/>
        </w:trPr>
        <w:tc>
          <w:tcPr>
            <w:cnfStyle w:val="001000000000" w:firstRow="0" w:lastRow="0" w:firstColumn="1" w:lastColumn="0" w:oddVBand="0" w:evenVBand="0" w:oddHBand="0" w:evenHBand="0" w:firstRowFirstColumn="0" w:firstRowLastColumn="0" w:lastRowFirstColumn="0" w:lastRowLastColumn="0"/>
            <w:tcW w:w="1870" w:type="dxa"/>
            <w:shd w:val="clear" w:color="auto" w:fill="25408F"/>
          </w:tcPr>
          <w:p w14:paraId="707C43E6" w14:textId="37A037C2" w:rsidR="008F46B8" w:rsidRPr="00424F59" w:rsidRDefault="008F46B8" w:rsidP="008F46B8">
            <w:pPr>
              <w:pStyle w:val="TT-TableHeading"/>
            </w:pPr>
            <w:r w:rsidRPr="00424F59">
              <w:t>Issue</w:t>
            </w:r>
          </w:p>
        </w:tc>
        <w:tc>
          <w:tcPr>
            <w:tcW w:w="4425" w:type="dxa"/>
            <w:shd w:val="clear" w:color="auto" w:fill="25408F"/>
          </w:tcPr>
          <w:p w14:paraId="6A45BD39" w14:textId="1887DA22" w:rsidR="008F46B8"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AC0AA2">
              <w:t>Summary</w:t>
            </w:r>
          </w:p>
        </w:tc>
        <w:tc>
          <w:tcPr>
            <w:tcW w:w="3780" w:type="dxa"/>
            <w:shd w:val="clear" w:color="auto" w:fill="25408F"/>
          </w:tcPr>
          <w:p w14:paraId="1079187D" w14:textId="2EC7F6DC" w:rsidR="008F46B8" w:rsidRPr="007B7E59"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AC0AA2">
              <w:t>Working Group priority and why</w:t>
            </w:r>
          </w:p>
        </w:tc>
      </w:tr>
      <w:tr w:rsidR="00FB7D60" w14:paraId="1DBF8D36" w14:textId="77777777" w:rsidTr="008F46B8">
        <w:trPr>
          <w:cnfStyle w:val="000000100000" w:firstRow="0" w:lastRow="0" w:firstColumn="0" w:lastColumn="0" w:oddVBand="0" w:evenVBand="0" w:oddHBand="1" w:evenHBand="0" w:firstRowFirstColumn="0" w:firstRowLastColumn="0" w:lastRowFirstColumn="0" w:lastRowLastColumn="0"/>
          <w:trHeight w:val="125"/>
        </w:trPr>
        <w:tc>
          <w:tcPr>
            <w:cnfStyle w:val="001000000000" w:firstRow="0" w:lastRow="0" w:firstColumn="1" w:lastColumn="0" w:oddVBand="0" w:evenVBand="0" w:oddHBand="0" w:evenHBand="0" w:firstRowFirstColumn="0" w:firstRowLastColumn="0" w:lastRowFirstColumn="0" w:lastRowLastColumn="0"/>
            <w:tcW w:w="1870" w:type="dxa"/>
          </w:tcPr>
          <w:p w14:paraId="2E67F612" w14:textId="77777777" w:rsidR="00FB7D60" w:rsidRPr="00424F59" w:rsidRDefault="00FB7D60">
            <w:pPr>
              <w:rPr>
                <w:sz w:val="20"/>
                <w:szCs w:val="20"/>
              </w:rPr>
            </w:pPr>
            <w:r w:rsidRPr="00424F59">
              <w:rPr>
                <w:sz w:val="20"/>
                <w:szCs w:val="20"/>
              </w:rPr>
              <w:t>Issue 3: TRM Update Cycle</w:t>
            </w:r>
          </w:p>
        </w:tc>
        <w:tc>
          <w:tcPr>
            <w:tcW w:w="4425" w:type="dxa"/>
          </w:tcPr>
          <w:p w14:paraId="6557D0E7" w14:textId="30C31D2A" w:rsidR="00FB7D60" w:rsidRPr="00AC0AA2" w:rsidRDefault="004A570A">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70151F">
              <w:rPr>
                <w:sz w:val="20"/>
                <w:szCs w:val="20"/>
              </w:rPr>
              <w:t xml:space="preserve"> </w:t>
            </w:r>
            <w:r w:rsidR="00FB7D60" w:rsidRPr="00AC0AA2">
              <w:rPr>
                <w:sz w:val="20"/>
                <w:szCs w:val="20"/>
              </w:rPr>
              <w:t>requires the EM&amp;V contractor to review the TRM annually for updates. PUCT staff has approval responsibility for the TRM (16 TAC § 25.181(q) (6)(c). To facilitate proper vetting and collaborative input into the TRM, PUCT staff distributes the TRM to the Energy Efficiency Implementation Project (EEIP) and hosts an annual EEIP meeting to review the TRM.</w:t>
            </w:r>
          </w:p>
        </w:tc>
        <w:tc>
          <w:tcPr>
            <w:tcW w:w="3780" w:type="dxa"/>
          </w:tcPr>
          <w:p w14:paraId="74F608E1" w14:textId="0A8AFC5B"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7B7E59">
              <w:rPr>
                <w:b/>
                <w:bCs/>
                <w:sz w:val="20"/>
                <w:szCs w:val="20"/>
              </w:rPr>
              <w:t>Low Priority:</w:t>
            </w:r>
            <w:r w:rsidRPr="00AC0AA2">
              <w:rPr>
                <w:sz w:val="20"/>
                <w:szCs w:val="20"/>
              </w:rPr>
              <w:t xml:space="preserve"> Stakeholders identified a desire  to review the TRM update cycle, voicing it may help reduce risk in their program delivery </w:t>
            </w:r>
          </w:p>
        </w:tc>
      </w:tr>
      <w:tr w:rsidR="008F46B8" w14:paraId="7C41781A" w14:textId="77777777" w:rsidTr="008F46B8">
        <w:trPr>
          <w:trHeight w:val="125"/>
        </w:trPr>
        <w:tc>
          <w:tcPr>
            <w:cnfStyle w:val="001000000000" w:firstRow="0" w:lastRow="0" w:firstColumn="1" w:lastColumn="0" w:oddVBand="0" w:evenVBand="0" w:oddHBand="0" w:evenHBand="0" w:firstRowFirstColumn="0" w:firstRowLastColumn="0" w:lastRowFirstColumn="0" w:lastRowLastColumn="0"/>
            <w:tcW w:w="1870" w:type="dxa"/>
            <w:shd w:val="clear" w:color="auto" w:fill="25408F"/>
          </w:tcPr>
          <w:p w14:paraId="0EDA77F5" w14:textId="6FEC1B19" w:rsidR="008F46B8" w:rsidRPr="00424F59" w:rsidRDefault="008F46B8" w:rsidP="008F46B8">
            <w:pPr>
              <w:pStyle w:val="TT-TableHeading"/>
            </w:pPr>
            <w:r w:rsidRPr="00424F59">
              <w:t>Issue</w:t>
            </w:r>
          </w:p>
        </w:tc>
        <w:tc>
          <w:tcPr>
            <w:tcW w:w="4425" w:type="dxa"/>
            <w:shd w:val="clear" w:color="auto" w:fill="25408F"/>
          </w:tcPr>
          <w:p w14:paraId="6E38B177" w14:textId="4FD87B07" w:rsidR="008F46B8"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AC0AA2">
              <w:t>Summary</w:t>
            </w:r>
          </w:p>
        </w:tc>
        <w:tc>
          <w:tcPr>
            <w:tcW w:w="3780" w:type="dxa"/>
            <w:shd w:val="clear" w:color="auto" w:fill="25408F"/>
          </w:tcPr>
          <w:p w14:paraId="0FFD1CAB" w14:textId="3EF49994" w:rsidR="008F46B8" w:rsidRPr="007B7E59" w:rsidRDefault="008F46B8" w:rsidP="008F46B8">
            <w:pPr>
              <w:pStyle w:val="TT-TableHeading"/>
              <w:cnfStyle w:val="000000000000" w:firstRow="0" w:lastRow="0" w:firstColumn="0" w:lastColumn="0" w:oddVBand="0" w:evenVBand="0" w:oddHBand="0" w:evenHBand="0" w:firstRowFirstColumn="0" w:firstRowLastColumn="0" w:lastRowFirstColumn="0" w:lastRowLastColumn="0"/>
            </w:pPr>
            <w:r w:rsidRPr="00AC0AA2">
              <w:t>Working Group priority and why</w:t>
            </w:r>
          </w:p>
        </w:tc>
      </w:tr>
      <w:tr w:rsidR="00FB7D60" w14:paraId="1BF9D768" w14:textId="77777777" w:rsidTr="008F46B8">
        <w:trPr>
          <w:cnfStyle w:val="000000100000" w:firstRow="0" w:lastRow="0" w:firstColumn="0" w:lastColumn="0" w:oddVBand="0" w:evenVBand="0" w:oddHBand="1" w:evenHBand="0" w:firstRowFirstColumn="0" w:firstRowLastColumn="0" w:lastRowFirstColumn="0" w:lastRowLastColumn="0"/>
          <w:trHeight w:val="125"/>
        </w:trPr>
        <w:tc>
          <w:tcPr>
            <w:cnfStyle w:val="001000000000" w:firstRow="0" w:lastRow="0" w:firstColumn="1" w:lastColumn="0" w:oddVBand="0" w:evenVBand="0" w:oddHBand="0" w:evenHBand="0" w:firstRowFirstColumn="0" w:firstRowLastColumn="0" w:lastRowFirstColumn="0" w:lastRowLastColumn="0"/>
            <w:tcW w:w="1870" w:type="dxa"/>
            <w:shd w:val="clear" w:color="auto" w:fill="FFFFFF" w:themeFill="background1"/>
          </w:tcPr>
          <w:p w14:paraId="589912A1" w14:textId="77777777" w:rsidR="00FB7D60" w:rsidRPr="00424F59" w:rsidRDefault="00FB7D60">
            <w:pPr>
              <w:rPr>
                <w:sz w:val="20"/>
                <w:szCs w:val="20"/>
              </w:rPr>
            </w:pPr>
            <w:r w:rsidRPr="00424F59">
              <w:rPr>
                <w:sz w:val="20"/>
                <w:szCs w:val="20"/>
              </w:rPr>
              <w:t>Issue 4: Stakeholder Engagement in Planning Cycle</w:t>
            </w:r>
          </w:p>
        </w:tc>
        <w:tc>
          <w:tcPr>
            <w:tcW w:w="4425" w:type="dxa"/>
            <w:shd w:val="clear" w:color="auto" w:fill="FFFFFF" w:themeFill="background1"/>
          </w:tcPr>
          <w:p w14:paraId="036C854E" w14:textId="33A33559"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AC0AA2">
              <w:rPr>
                <w:sz w:val="20"/>
                <w:szCs w:val="20"/>
              </w:rPr>
              <w:t xml:space="preserve">PURA and </w:t>
            </w:r>
            <w:r w:rsidR="0014083D">
              <w:rPr>
                <w:sz w:val="20"/>
                <w:szCs w:val="20"/>
              </w:rPr>
              <w:t>16 TAC §25.181</w:t>
            </w:r>
            <w:r w:rsidRPr="00AC0AA2">
              <w:rPr>
                <w:sz w:val="20"/>
                <w:szCs w:val="20"/>
              </w:rPr>
              <w:t xml:space="preserve"> require ERCOT utilities to use their best efforts to encourage and facilitate the involvement of retail electric providers (REPs) in the delivery of EE and DR programs. </w:t>
            </w:r>
            <w:r w:rsidR="0014083D">
              <w:rPr>
                <w:sz w:val="20"/>
                <w:szCs w:val="20"/>
              </w:rPr>
              <w:t>16 TAC §25.181</w:t>
            </w:r>
            <w:r w:rsidRPr="00AC0AA2">
              <w:rPr>
                <w:sz w:val="20"/>
                <w:szCs w:val="20"/>
              </w:rPr>
              <w:t xml:space="preserve"> also includes collaboration with the Energy Efficiency Implementation Project (EEIP).</w:t>
            </w:r>
          </w:p>
        </w:tc>
        <w:tc>
          <w:tcPr>
            <w:tcW w:w="3780" w:type="dxa"/>
            <w:shd w:val="clear" w:color="auto" w:fill="FFFFFF" w:themeFill="background1"/>
          </w:tcPr>
          <w:p w14:paraId="7542BA81" w14:textId="77777777"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70151F">
              <w:rPr>
                <w:b/>
                <w:bCs/>
                <w:sz w:val="20"/>
                <w:szCs w:val="20"/>
              </w:rPr>
              <w:t>High Priority:</w:t>
            </w:r>
            <w:r w:rsidRPr="00AC0AA2">
              <w:rPr>
                <w:sz w:val="20"/>
                <w:szCs w:val="20"/>
              </w:rPr>
              <w:t xml:space="preserve"> Stakeholders voiced a gap in knowledge surrounding the planning cycle, manner of participation, and process, which may result in missed EE program opportunities.</w:t>
            </w:r>
          </w:p>
        </w:tc>
      </w:tr>
      <w:tr w:rsidR="00FB7D60" w14:paraId="0DEF7855" w14:textId="77777777" w:rsidTr="008F46B8">
        <w:trPr>
          <w:trHeight w:val="125"/>
        </w:trPr>
        <w:tc>
          <w:tcPr>
            <w:cnfStyle w:val="001000000000" w:firstRow="0" w:lastRow="0" w:firstColumn="1" w:lastColumn="0" w:oddVBand="0" w:evenVBand="0" w:oddHBand="0" w:evenHBand="0" w:firstRowFirstColumn="0" w:firstRowLastColumn="0" w:lastRowFirstColumn="0" w:lastRowLastColumn="0"/>
            <w:tcW w:w="1870" w:type="dxa"/>
            <w:shd w:val="clear" w:color="auto" w:fill="DAEEF3" w:themeFill="accent5" w:themeFillTint="33"/>
          </w:tcPr>
          <w:p w14:paraId="5AC98406" w14:textId="77777777" w:rsidR="00FB7D60" w:rsidRPr="00424F59" w:rsidRDefault="00FB7D60" w:rsidP="008F46B8">
            <w:pPr>
              <w:keepNext/>
              <w:keepLines/>
              <w:rPr>
                <w:sz w:val="20"/>
                <w:szCs w:val="20"/>
              </w:rPr>
            </w:pPr>
            <w:r w:rsidRPr="00424F59">
              <w:rPr>
                <w:sz w:val="20"/>
                <w:szCs w:val="20"/>
              </w:rPr>
              <w:t>Issue 5: Program Options: Standard Offer, Market Transformation, and Self-delivered Programs</w:t>
            </w:r>
          </w:p>
        </w:tc>
        <w:tc>
          <w:tcPr>
            <w:tcW w:w="4425" w:type="dxa"/>
            <w:shd w:val="clear" w:color="auto" w:fill="DAEEF3" w:themeFill="accent5" w:themeFillTint="33"/>
          </w:tcPr>
          <w:p w14:paraId="7FDAD2D0" w14:textId="77777777" w:rsidR="00FB7D60" w:rsidRPr="00AC0AA2" w:rsidRDefault="00FB7D60"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AC0AA2">
              <w:rPr>
                <w:sz w:val="20"/>
                <w:szCs w:val="20"/>
              </w:rPr>
              <w:t>Standard Offer Program (SOP): A program under which a utility administers standard offer contracts between the utility and energy efficiency service providers.</w:t>
            </w:r>
          </w:p>
          <w:p w14:paraId="08D66057" w14:textId="77777777" w:rsidR="00FB7D60" w:rsidRPr="00AC0AA2" w:rsidRDefault="00FB7D60"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AC0AA2">
              <w:rPr>
                <w:sz w:val="20"/>
                <w:szCs w:val="20"/>
              </w:rPr>
              <w:t>Market Transformation Programs (MTPs): Strategic programs intended to induce lasting structural or behavioral changes in the market that result in increased adoption of energy efficiency technologies, services, and practices. Pilot programs typically fall under this definition.</w:t>
            </w:r>
          </w:p>
          <w:p w14:paraId="233A96F0" w14:textId="77777777" w:rsidR="00FB7D60" w:rsidRPr="00AC0AA2" w:rsidRDefault="00FB7D60"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AC0AA2">
              <w:rPr>
                <w:sz w:val="20"/>
                <w:szCs w:val="20"/>
              </w:rPr>
              <w:t>Self-Delivered Programs: a program developed by a utility in an area where customer choice is not offered that provides incentives directly to customers. The utility may design and administer the program using internal or external resources.</w:t>
            </w:r>
          </w:p>
        </w:tc>
        <w:tc>
          <w:tcPr>
            <w:tcW w:w="3780" w:type="dxa"/>
            <w:shd w:val="clear" w:color="auto" w:fill="DAEEF3" w:themeFill="accent5" w:themeFillTint="33"/>
          </w:tcPr>
          <w:p w14:paraId="19BD4AE8" w14:textId="77777777" w:rsidR="00FB7D60" w:rsidRPr="00AC0AA2" w:rsidRDefault="00FB7D60" w:rsidP="008F46B8">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70151F">
              <w:rPr>
                <w:b/>
                <w:bCs/>
                <w:sz w:val="20"/>
                <w:szCs w:val="20"/>
              </w:rPr>
              <w:t>Low Priority:</w:t>
            </w:r>
            <w:r w:rsidRPr="00AC0AA2">
              <w:rPr>
                <w:sz w:val="20"/>
                <w:szCs w:val="20"/>
              </w:rPr>
              <w:t xml:space="preserve"> Overall, stakeholders agreed that the definitions of the program offerings provided enough flexibility. However, providing longer durations for pilots to run was overall the most commonly voiced theme from stakeholders.</w:t>
            </w:r>
          </w:p>
        </w:tc>
      </w:tr>
      <w:tr w:rsidR="00FB7D60" w14:paraId="2770E2A2" w14:textId="77777777" w:rsidTr="008F46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auto"/>
          </w:tcPr>
          <w:p w14:paraId="36E80462" w14:textId="77777777" w:rsidR="00FB7D60" w:rsidRPr="00424F59" w:rsidRDefault="00FB7D60">
            <w:pPr>
              <w:rPr>
                <w:sz w:val="20"/>
                <w:szCs w:val="20"/>
              </w:rPr>
            </w:pPr>
            <w:r w:rsidRPr="00424F59">
              <w:rPr>
                <w:sz w:val="20"/>
                <w:szCs w:val="20"/>
              </w:rPr>
              <w:t>Issue 6: Method of Avoided Costs Calculation Energy</w:t>
            </w:r>
          </w:p>
        </w:tc>
        <w:tc>
          <w:tcPr>
            <w:tcW w:w="4425" w:type="dxa"/>
            <w:shd w:val="clear" w:color="auto" w:fill="auto"/>
          </w:tcPr>
          <w:p w14:paraId="7DFD0395" w14:textId="77777777"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AC0AA2">
              <w:rPr>
                <w:sz w:val="20"/>
                <w:szCs w:val="20"/>
              </w:rPr>
              <w:t>Energy avoided costs are calculated from the load-weighted average of wholesale prices for the peak periods from the two previous winter and summer peaks.</w:t>
            </w:r>
          </w:p>
        </w:tc>
        <w:tc>
          <w:tcPr>
            <w:tcW w:w="3780" w:type="dxa"/>
            <w:shd w:val="clear" w:color="auto" w:fill="auto"/>
          </w:tcPr>
          <w:p w14:paraId="6E7F5F1E" w14:textId="77777777"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70151F">
              <w:rPr>
                <w:b/>
                <w:bCs/>
                <w:sz w:val="20"/>
                <w:szCs w:val="20"/>
              </w:rPr>
              <w:t>High Priority:</w:t>
            </w:r>
            <w:r w:rsidRPr="00AC0AA2">
              <w:rPr>
                <w:sz w:val="20"/>
                <w:szCs w:val="20"/>
              </w:rPr>
              <w:t xml:space="preserve"> Stakeholders voiced wanting to review the calculation method to help level the volatility in energy prices.</w:t>
            </w:r>
          </w:p>
        </w:tc>
      </w:tr>
      <w:tr w:rsidR="00FB7D60" w14:paraId="2F1A7526" w14:textId="77777777" w:rsidTr="008F46B8">
        <w:tc>
          <w:tcPr>
            <w:cnfStyle w:val="001000000000" w:firstRow="0" w:lastRow="0" w:firstColumn="1" w:lastColumn="0" w:oddVBand="0" w:evenVBand="0" w:oddHBand="0" w:evenHBand="0" w:firstRowFirstColumn="0" w:firstRowLastColumn="0" w:lastRowFirstColumn="0" w:lastRowLastColumn="0"/>
            <w:tcW w:w="1870" w:type="dxa"/>
            <w:shd w:val="clear" w:color="auto" w:fill="DAEEF3" w:themeFill="accent5" w:themeFillTint="33"/>
          </w:tcPr>
          <w:p w14:paraId="30B32783" w14:textId="77777777" w:rsidR="00FB7D60" w:rsidRPr="00424F59" w:rsidRDefault="00FB7D60">
            <w:pPr>
              <w:rPr>
                <w:sz w:val="20"/>
                <w:szCs w:val="20"/>
              </w:rPr>
            </w:pPr>
            <w:r w:rsidRPr="00424F59">
              <w:rPr>
                <w:sz w:val="20"/>
                <w:szCs w:val="20"/>
              </w:rPr>
              <w:t>Issue 7: Method of Avoided Costs Calculation Capacity</w:t>
            </w:r>
          </w:p>
        </w:tc>
        <w:tc>
          <w:tcPr>
            <w:tcW w:w="4425" w:type="dxa"/>
            <w:shd w:val="clear" w:color="auto" w:fill="DAEEF3" w:themeFill="accent5" w:themeFillTint="33"/>
          </w:tcPr>
          <w:p w14:paraId="63FF8B14" w14:textId="77777777"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r w:rsidRPr="00AC0AA2">
              <w:rPr>
                <w:sz w:val="20"/>
                <w:szCs w:val="20"/>
              </w:rPr>
              <w:t xml:space="preserve">As reported by EIA, Capacity avoided costs are calculated from the base overnight cost using the lower of a new conventional or new advanced combustion turbine. </w:t>
            </w:r>
          </w:p>
        </w:tc>
        <w:tc>
          <w:tcPr>
            <w:tcW w:w="3780" w:type="dxa"/>
            <w:shd w:val="clear" w:color="auto" w:fill="DAEEF3" w:themeFill="accent5" w:themeFillTint="33"/>
          </w:tcPr>
          <w:p w14:paraId="5D876AD6" w14:textId="77777777"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r w:rsidRPr="0070151F">
              <w:rPr>
                <w:b/>
                <w:bCs/>
                <w:sz w:val="20"/>
                <w:szCs w:val="20"/>
              </w:rPr>
              <w:t>High Priority:</w:t>
            </w:r>
            <w:r w:rsidRPr="00AC0AA2">
              <w:rPr>
                <w:sz w:val="20"/>
                <w:szCs w:val="20"/>
              </w:rPr>
              <w:t xml:space="preserve"> Stakeholders identified that the avoided capacity cost had been the same at $80 per kW for over a decade. The calculation may not accurately capture the full value of EE programs.</w:t>
            </w:r>
          </w:p>
        </w:tc>
      </w:tr>
      <w:tr w:rsidR="00FB7D60" w14:paraId="4993B09D" w14:textId="77777777" w:rsidTr="008F46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0" w:type="dxa"/>
            <w:shd w:val="clear" w:color="auto" w:fill="auto"/>
          </w:tcPr>
          <w:p w14:paraId="250D11BE" w14:textId="77777777" w:rsidR="00FB7D60" w:rsidRPr="00424F59" w:rsidRDefault="00FB7D60">
            <w:pPr>
              <w:rPr>
                <w:sz w:val="20"/>
                <w:szCs w:val="20"/>
              </w:rPr>
            </w:pPr>
            <w:r w:rsidRPr="00424F59">
              <w:rPr>
                <w:sz w:val="20"/>
                <w:szCs w:val="20"/>
              </w:rPr>
              <w:t>Issue 8: Timeline of Avoided Cost Calculation Energy &amp; Capacity</w:t>
            </w:r>
          </w:p>
        </w:tc>
        <w:tc>
          <w:tcPr>
            <w:tcW w:w="4425" w:type="dxa"/>
            <w:shd w:val="clear" w:color="auto" w:fill="auto"/>
          </w:tcPr>
          <w:p w14:paraId="016E5ED3" w14:textId="168A2D91"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AC0AA2">
              <w:rPr>
                <w:sz w:val="20"/>
                <w:szCs w:val="20"/>
              </w:rPr>
              <w:t>Each November, avoided costs are calculated and published; Capacity by Commission and energy by ERCOT</w:t>
            </w:r>
            <w:r w:rsidR="005A1AF0">
              <w:rPr>
                <w:sz w:val="20"/>
                <w:szCs w:val="20"/>
              </w:rPr>
              <w:t>.</w:t>
            </w:r>
          </w:p>
        </w:tc>
        <w:tc>
          <w:tcPr>
            <w:tcW w:w="3780" w:type="dxa"/>
            <w:shd w:val="clear" w:color="auto" w:fill="auto"/>
          </w:tcPr>
          <w:p w14:paraId="02386BFE" w14:textId="008606E5"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70151F">
              <w:rPr>
                <w:b/>
                <w:bCs/>
                <w:sz w:val="20"/>
                <w:szCs w:val="20"/>
              </w:rPr>
              <w:t>High Priority:</w:t>
            </w:r>
            <w:r w:rsidRPr="00AC0AA2">
              <w:rPr>
                <w:sz w:val="20"/>
                <w:szCs w:val="20"/>
              </w:rPr>
              <w:t xml:space="preserve"> The timing of November published avoided costs does not align with the April 1 EPPR filings. In other words, programs are filed before updated avoided costs; this can cause conflict with program filings and cost-effectiveness calculations.</w:t>
            </w:r>
          </w:p>
        </w:tc>
      </w:tr>
    </w:tbl>
    <w:p w14:paraId="7D52676F" w14:textId="4137A47E" w:rsidR="00F92426" w:rsidRPr="00AC0AA2" w:rsidRDefault="008F46B8" w:rsidP="008F46B8">
      <w:pPr>
        <w:keepNext/>
        <w:keepLines/>
        <w:rPr>
          <w:b/>
          <w:bCs/>
        </w:rPr>
      </w:pPr>
      <w:r>
        <w:br/>
      </w:r>
      <w:r w:rsidR="00FB7D60" w:rsidRPr="00AC0AA2">
        <w:t xml:space="preserve">For </w:t>
      </w:r>
      <w:r w:rsidR="00CE2979">
        <w:t>the first five identified</w:t>
      </w:r>
      <w:r w:rsidR="00FB7D60" w:rsidRPr="00AC0AA2">
        <w:t xml:space="preserve"> key issue</w:t>
      </w:r>
      <w:r w:rsidR="00CE2979">
        <w:t>s</w:t>
      </w:r>
      <w:r w:rsidR="00FB7D60" w:rsidRPr="00AC0AA2">
        <w:t xml:space="preserve"> above, the following table summarizes areas of agreement, multiple perspectives expressed, and changes that could be needed. </w:t>
      </w:r>
      <w:r w:rsidR="00CE2979">
        <w:t xml:space="preserve">The remaining three issues were not discussed until session two. Please see Session two summaries for discussion of issues six through eight. </w:t>
      </w:r>
    </w:p>
    <w:tbl>
      <w:tblPr>
        <w:tblStyle w:val="GridTable4-Accent5"/>
        <w:tblW w:w="1014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705"/>
        <w:gridCol w:w="2340"/>
        <w:gridCol w:w="2880"/>
        <w:gridCol w:w="1624"/>
        <w:gridCol w:w="1592"/>
      </w:tblGrid>
      <w:tr w:rsidR="00FB7D60" w14:paraId="27E7FEDE" w14:textId="77777777" w:rsidTr="001B094D">
        <w:trPr>
          <w:cnfStyle w:val="100000000000" w:firstRow="1" w:lastRow="0" w:firstColumn="0" w:lastColumn="0" w:oddVBand="0" w:evenVBand="0" w:oddHBand="0" w:evenHBand="0" w:firstRowFirstColumn="0" w:firstRowLastColumn="0" w:lastRowFirstColumn="0" w:lastRowLastColumn="0"/>
          <w:trHeight w:val="1325"/>
          <w:tblHeader/>
        </w:trPr>
        <w:tc>
          <w:tcPr>
            <w:cnfStyle w:val="001000000000" w:firstRow="0" w:lastRow="0" w:firstColumn="1" w:lastColumn="0" w:oddVBand="0" w:evenVBand="0" w:oddHBand="0" w:evenHBand="0" w:firstRowFirstColumn="0" w:firstRowLastColumn="0" w:lastRowFirstColumn="0" w:lastRowLastColumn="0"/>
            <w:tcW w:w="1705" w:type="dxa"/>
            <w:tcBorders>
              <w:top w:val="none" w:sz="0" w:space="0" w:color="auto"/>
              <w:left w:val="none" w:sz="0" w:space="0" w:color="auto"/>
              <w:bottom w:val="none" w:sz="0" w:space="0" w:color="auto"/>
              <w:right w:val="none" w:sz="0" w:space="0" w:color="auto"/>
            </w:tcBorders>
            <w:shd w:val="clear" w:color="auto" w:fill="25408F"/>
            <w:vAlign w:val="bottom"/>
          </w:tcPr>
          <w:p w14:paraId="3F62D4B8" w14:textId="0A97E31B" w:rsidR="00FB7D60" w:rsidRPr="00424F59" w:rsidRDefault="008F46B8" w:rsidP="008F46B8">
            <w:pPr>
              <w:pStyle w:val="TT-TableHeading"/>
              <w:keepNext/>
              <w:keepLines/>
            </w:pPr>
            <w:r w:rsidRPr="00424F59">
              <w:t>Key issue</w:t>
            </w:r>
          </w:p>
        </w:tc>
        <w:tc>
          <w:tcPr>
            <w:tcW w:w="2340" w:type="dxa"/>
            <w:tcBorders>
              <w:top w:val="none" w:sz="0" w:space="0" w:color="auto"/>
              <w:left w:val="none" w:sz="0" w:space="0" w:color="auto"/>
              <w:bottom w:val="none" w:sz="0" w:space="0" w:color="auto"/>
              <w:right w:val="none" w:sz="0" w:space="0" w:color="auto"/>
            </w:tcBorders>
            <w:shd w:val="clear" w:color="auto" w:fill="25408F"/>
            <w:vAlign w:val="bottom"/>
          </w:tcPr>
          <w:p w14:paraId="4D87607F" w14:textId="3B9C147F" w:rsidR="00FB7D60" w:rsidRPr="00AC0AA2" w:rsidRDefault="008F46B8" w:rsidP="008F46B8">
            <w:pPr>
              <w:pStyle w:val="TT-TableHeading"/>
              <w:keepNext/>
              <w:keepLines/>
              <w:cnfStyle w:val="100000000000" w:firstRow="1" w:lastRow="0" w:firstColumn="0" w:lastColumn="0" w:oddVBand="0" w:evenVBand="0" w:oddHBand="0" w:evenHBand="0" w:firstRowFirstColumn="0" w:firstRowLastColumn="0" w:lastRowFirstColumn="0" w:lastRowLastColumn="0"/>
              <w:rPr>
                <w:b w:val="0"/>
                <w:bCs/>
              </w:rPr>
            </w:pPr>
            <w:r w:rsidRPr="00AC0AA2">
              <w:rPr>
                <w:b w:val="0"/>
              </w:rPr>
              <w:t>Areas of agreement</w:t>
            </w:r>
          </w:p>
        </w:tc>
        <w:tc>
          <w:tcPr>
            <w:tcW w:w="2880" w:type="dxa"/>
            <w:tcBorders>
              <w:top w:val="none" w:sz="0" w:space="0" w:color="auto"/>
              <w:left w:val="none" w:sz="0" w:space="0" w:color="auto"/>
              <w:bottom w:val="none" w:sz="0" w:space="0" w:color="auto"/>
              <w:right w:val="none" w:sz="0" w:space="0" w:color="auto"/>
            </w:tcBorders>
            <w:shd w:val="clear" w:color="auto" w:fill="25408F"/>
            <w:vAlign w:val="bottom"/>
          </w:tcPr>
          <w:p w14:paraId="5D8DD72E" w14:textId="24A80310" w:rsidR="00FB7D60" w:rsidRPr="00AC0AA2" w:rsidRDefault="008F46B8" w:rsidP="008F46B8">
            <w:pPr>
              <w:pStyle w:val="TT-TableHeading"/>
              <w:keepNext/>
              <w:keepLines/>
              <w:cnfStyle w:val="100000000000" w:firstRow="1" w:lastRow="0" w:firstColumn="0" w:lastColumn="0" w:oddVBand="0" w:evenVBand="0" w:oddHBand="0" w:evenHBand="0" w:firstRowFirstColumn="0" w:firstRowLastColumn="0" w:lastRowFirstColumn="0" w:lastRowLastColumn="0"/>
              <w:rPr>
                <w:b w:val="0"/>
                <w:bCs/>
              </w:rPr>
            </w:pPr>
            <w:r w:rsidRPr="00AC0AA2">
              <w:rPr>
                <w:b w:val="0"/>
              </w:rPr>
              <w:t>Areas of debate</w:t>
            </w:r>
          </w:p>
        </w:tc>
        <w:tc>
          <w:tcPr>
            <w:tcW w:w="1624" w:type="dxa"/>
            <w:tcBorders>
              <w:top w:val="none" w:sz="0" w:space="0" w:color="auto"/>
              <w:left w:val="none" w:sz="0" w:space="0" w:color="auto"/>
              <w:bottom w:val="none" w:sz="0" w:space="0" w:color="auto"/>
              <w:right w:val="none" w:sz="0" w:space="0" w:color="auto"/>
            </w:tcBorders>
            <w:shd w:val="clear" w:color="auto" w:fill="25408F"/>
            <w:vAlign w:val="bottom"/>
          </w:tcPr>
          <w:p w14:paraId="2584E0E5" w14:textId="41CF1A7A" w:rsidR="00FB7D60" w:rsidRPr="00AC0AA2" w:rsidRDefault="008F46B8" w:rsidP="008F46B8">
            <w:pPr>
              <w:pStyle w:val="TT-TableHeading"/>
              <w:keepNext/>
              <w:keepLines/>
              <w:cnfStyle w:val="100000000000" w:firstRow="1" w:lastRow="0" w:firstColumn="0" w:lastColumn="0" w:oddVBand="0" w:evenVBand="0" w:oddHBand="0" w:evenHBand="0" w:firstRowFirstColumn="0" w:firstRowLastColumn="0" w:lastRowFirstColumn="0" w:lastRowLastColumn="0"/>
              <w:rPr>
                <w:b w:val="0"/>
                <w:bCs/>
              </w:rPr>
            </w:pPr>
            <w:r w:rsidRPr="00AC0AA2">
              <w:rPr>
                <w:b w:val="0"/>
              </w:rPr>
              <w:t xml:space="preserve">Would this require legislation or rulemaking? If so, what? </w:t>
            </w:r>
          </w:p>
        </w:tc>
        <w:tc>
          <w:tcPr>
            <w:tcW w:w="1592" w:type="dxa"/>
            <w:tcBorders>
              <w:top w:val="none" w:sz="0" w:space="0" w:color="auto"/>
              <w:left w:val="none" w:sz="0" w:space="0" w:color="auto"/>
              <w:bottom w:val="none" w:sz="0" w:space="0" w:color="auto"/>
              <w:right w:val="none" w:sz="0" w:space="0" w:color="auto"/>
            </w:tcBorders>
            <w:shd w:val="clear" w:color="auto" w:fill="25408F"/>
            <w:vAlign w:val="bottom"/>
          </w:tcPr>
          <w:p w14:paraId="75B47B38" w14:textId="77777777" w:rsidR="00FB7D60" w:rsidRPr="00AC0AA2" w:rsidRDefault="00FB7D60" w:rsidP="008F46B8">
            <w:pPr>
              <w:pStyle w:val="TT-TableHeading"/>
              <w:keepNext/>
              <w:keepLines/>
              <w:cnfStyle w:val="100000000000" w:firstRow="1" w:lastRow="0" w:firstColumn="0" w:lastColumn="0" w:oddVBand="0" w:evenVBand="0" w:oddHBand="0" w:evenHBand="0" w:firstRowFirstColumn="0" w:firstRowLastColumn="0" w:lastRowFirstColumn="0" w:lastRowLastColumn="0"/>
            </w:pPr>
            <w:r w:rsidRPr="00AC0AA2">
              <w:t>Could another process address?</w:t>
            </w:r>
          </w:p>
        </w:tc>
      </w:tr>
      <w:tr w:rsidR="00FB7D60" w14:paraId="131AEEEF" w14:textId="77777777" w:rsidTr="001B094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705" w:type="dxa"/>
          </w:tcPr>
          <w:p w14:paraId="0A29574E" w14:textId="77777777" w:rsidR="00FB7D60" w:rsidRPr="00424F59" w:rsidRDefault="00FB7D60" w:rsidP="008F46B8">
            <w:pPr>
              <w:keepNext/>
              <w:keepLines/>
              <w:rPr>
                <w:sz w:val="20"/>
                <w:szCs w:val="20"/>
              </w:rPr>
            </w:pPr>
            <w:r w:rsidRPr="00424F59">
              <w:rPr>
                <w:sz w:val="20"/>
                <w:szCs w:val="20"/>
              </w:rPr>
              <w:t>Issue 1: Planning Cycle</w:t>
            </w:r>
          </w:p>
        </w:tc>
        <w:tc>
          <w:tcPr>
            <w:tcW w:w="2340" w:type="dxa"/>
          </w:tcPr>
          <w:p w14:paraId="6F06F7D7" w14:textId="77777777" w:rsidR="00FB7D60" w:rsidRPr="00AC0AA2" w:rsidRDefault="00FB7D60"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AC0AA2">
              <w:rPr>
                <w:sz w:val="20"/>
                <w:szCs w:val="20"/>
              </w:rPr>
              <w:t>Streamlining the planning cycle in a way that optimizes EE Program value is the goal.</w:t>
            </w:r>
          </w:p>
          <w:p w14:paraId="4A0DB66E" w14:textId="77777777" w:rsidR="00FB7D60" w:rsidRPr="00AC0AA2" w:rsidRDefault="00FB7D60"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AC0AA2">
              <w:rPr>
                <w:sz w:val="20"/>
                <w:szCs w:val="20"/>
              </w:rPr>
              <w:t>Understanding that the comprehensive planning cycle (EPPR, TRM, EM&amp;V, avoided costs, etc.) is interdependent and will require a holistic view when making any adjustments.</w:t>
            </w:r>
          </w:p>
        </w:tc>
        <w:tc>
          <w:tcPr>
            <w:tcW w:w="2880" w:type="dxa"/>
          </w:tcPr>
          <w:p w14:paraId="0B1C72C1" w14:textId="77777777" w:rsidR="00FB7D60" w:rsidRPr="00AC0AA2" w:rsidRDefault="00FB7D60"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424F59">
              <w:rPr>
                <w:sz w:val="20"/>
                <w:szCs w:val="20"/>
                <w:u w:val="single"/>
              </w:rPr>
              <w:t>Perspective 1:</w:t>
            </w:r>
            <w:r w:rsidRPr="00AC0AA2">
              <w:rPr>
                <w:sz w:val="20"/>
                <w:szCs w:val="20"/>
              </w:rPr>
              <w:t xml:space="preserve"> Moving to a 2- or 3-year EE program planning cycle will encourage forward thinking and flexibility regarding measures, program design, and budgets.</w:t>
            </w:r>
          </w:p>
          <w:p w14:paraId="6FC3075C" w14:textId="77777777" w:rsidR="00FB7D60" w:rsidRPr="00AC0AA2" w:rsidRDefault="00FB7D60"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424F59">
              <w:rPr>
                <w:sz w:val="20"/>
                <w:szCs w:val="20"/>
                <w:u w:val="single"/>
              </w:rPr>
              <w:t>Perspective 2:</w:t>
            </w:r>
            <w:r w:rsidRPr="00AC0AA2">
              <w:rPr>
                <w:sz w:val="20"/>
                <w:szCs w:val="20"/>
              </w:rPr>
              <w:t xml:space="preserve"> Moving to a 2–or 3-year EE program planning cycle may limit flexibility because the plans are locked in and should be a consideration should any adjustments be made.</w:t>
            </w:r>
          </w:p>
          <w:p w14:paraId="607A8D0B" w14:textId="77777777" w:rsidR="00FB7D60" w:rsidRPr="00AC0AA2" w:rsidRDefault="00FB7D60"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424F59">
              <w:rPr>
                <w:sz w:val="20"/>
                <w:szCs w:val="20"/>
                <w:u w:val="single"/>
              </w:rPr>
              <w:t>Perspective 3:</w:t>
            </w:r>
            <w:r w:rsidRPr="00AC0AA2">
              <w:rPr>
                <w:sz w:val="20"/>
                <w:szCs w:val="20"/>
              </w:rPr>
              <w:t xml:space="preserve"> A one-year filing is simple and provides the ability to update goals and create them in a timely manner each year.</w:t>
            </w:r>
          </w:p>
          <w:p w14:paraId="5881CCD7" w14:textId="77777777" w:rsidR="00FB7D60" w:rsidRPr="00AC0AA2" w:rsidRDefault="00FB7D60"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424F59">
              <w:rPr>
                <w:sz w:val="20"/>
                <w:szCs w:val="20"/>
                <w:u w:val="single"/>
              </w:rPr>
              <w:t>Perspective 4:</w:t>
            </w:r>
            <w:r w:rsidRPr="00AC0AA2">
              <w:rPr>
                <w:sz w:val="20"/>
                <w:szCs w:val="20"/>
              </w:rPr>
              <w:t xml:space="preserve"> Transitioning EEPR and EECRF from two filings to one filing will reduce the administrative burden. </w:t>
            </w:r>
          </w:p>
        </w:tc>
        <w:tc>
          <w:tcPr>
            <w:tcW w:w="1624" w:type="dxa"/>
          </w:tcPr>
          <w:p w14:paraId="069C38E3" w14:textId="6DB68D59" w:rsidR="00FB7D60" w:rsidRPr="00AC0AA2" w:rsidRDefault="0070151F"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16 TAC §25.181 </w:t>
            </w:r>
            <w:r w:rsidR="00FB7D60" w:rsidRPr="00AC0AA2">
              <w:rPr>
                <w:sz w:val="20"/>
                <w:szCs w:val="20"/>
              </w:rPr>
              <w:t xml:space="preserve"> (d)</w:t>
            </w:r>
          </w:p>
          <w:p w14:paraId="323F1BB5" w14:textId="77777777" w:rsidR="00FB7D60" w:rsidRPr="00AC0AA2" w:rsidRDefault="00FB7D60"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p>
        </w:tc>
        <w:tc>
          <w:tcPr>
            <w:tcW w:w="1592" w:type="dxa"/>
          </w:tcPr>
          <w:p w14:paraId="3A16ADEB" w14:textId="77777777" w:rsidR="00FB7D60" w:rsidRPr="00AC0AA2" w:rsidRDefault="00FB7D60" w:rsidP="008F46B8">
            <w:pPr>
              <w:keepNext/>
              <w:keepLines/>
              <w:cnfStyle w:val="000000100000" w:firstRow="0" w:lastRow="0" w:firstColumn="0" w:lastColumn="0" w:oddVBand="0" w:evenVBand="0" w:oddHBand="1" w:evenHBand="0" w:firstRowFirstColumn="0" w:firstRowLastColumn="0" w:lastRowFirstColumn="0" w:lastRowLastColumn="0"/>
              <w:rPr>
                <w:sz w:val="20"/>
                <w:szCs w:val="20"/>
              </w:rPr>
            </w:pPr>
          </w:p>
        </w:tc>
      </w:tr>
      <w:tr w:rsidR="001B094D" w14:paraId="0909F966" w14:textId="77777777" w:rsidTr="001B094D">
        <w:trPr>
          <w:trHeight w:val="268"/>
        </w:trPr>
        <w:tc>
          <w:tcPr>
            <w:cnfStyle w:val="001000000000" w:firstRow="0" w:lastRow="0" w:firstColumn="1" w:lastColumn="0" w:oddVBand="0" w:evenVBand="0" w:oddHBand="0" w:evenHBand="0" w:firstRowFirstColumn="0" w:firstRowLastColumn="0" w:lastRowFirstColumn="0" w:lastRowLastColumn="0"/>
            <w:tcW w:w="1705" w:type="dxa"/>
            <w:shd w:val="clear" w:color="auto" w:fill="25408F"/>
            <w:vAlign w:val="bottom"/>
          </w:tcPr>
          <w:p w14:paraId="7FB0499A" w14:textId="463BEB16" w:rsidR="001B094D" w:rsidRPr="00424F59" w:rsidRDefault="001B094D" w:rsidP="001B094D">
            <w:pPr>
              <w:pStyle w:val="TT-TableHeading"/>
            </w:pPr>
            <w:r w:rsidRPr="00424F59">
              <w:t>Key issue</w:t>
            </w:r>
          </w:p>
        </w:tc>
        <w:tc>
          <w:tcPr>
            <w:tcW w:w="2340" w:type="dxa"/>
            <w:shd w:val="clear" w:color="auto" w:fill="25408F"/>
            <w:vAlign w:val="bottom"/>
          </w:tcPr>
          <w:p w14:paraId="29049FBE" w14:textId="03B696E5" w:rsidR="001B094D" w:rsidRPr="00AC0AA2"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AC0AA2">
              <w:t>Areas of agreement</w:t>
            </w:r>
          </w:p>
        </w:tc>
        <w:tc>
          <w:tcPr>
            <w:tcW w:w="2880" w:type="dxa"/>
            <w:shd w:val="clear" w:color="auto" w:fill="25408F"/>
            <w:vAlign w:val="bottom"/>
          </w:tcPr>
          <w:p w14:paraId="31710D2C" w14:textId="0EC771E3" w:rsidR="001B094D" w:rsidRPr="00424F59" w:rsidRDefault="001B094D" w:rsidP="001B094D">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AC0AA2">
              <w:t>Areas of debate</w:t>
            </w:r>
          </w:p>
        </w:tc>
        <w:tc>
          <w:tcPr>
            <w:tcW w:w="1624" w:type="dxa"/>
            <w:shd w:val="clear" w:color="auto" w:fill="25408F"/>
            <w:vAlign w:val="bottom"/>
          </w:tcPr>
          <w:p w14:paraId="59131FF5" w14:textId="1468C8C4" w:rsidR="001B094D"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AC0AA2">
              <w:t xml:space="preserve">Would this require legislation or rulemaking? If so, what? </w:t>
            </w:r>
          </w:p>
        </w:tc>
        <w:tc>
          <w:tcPr>
            <w:tcW w:w="1592" w:type="dxa"/>
            <w:shd w:val="clear" w:color="auto" w:fill="25408F"/>
            <w:vAlign w:val="bottom"/>
          </w:tcPr>
          <w:p w14:paraId="4DBDE513" w14:textId="12EABCA1" w:rsidR="001B094D" w:rsidRPr="00AC0AA2"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AC0AA2">
              <w:t>Could another process address?</w:t>
            </w:r>
          </w:p>
        </w:tc>
      </w:tr>
      <w:tr w:rsidR="00FB7D60" w14:paraId="0EB7441E" w14:textId="77777777" w:rsidTr="001B094D">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705" w:type="dxa"/>
            <w:shd w:val="clear" w:color="auto" w:fill="auto"/>
          </w:tcPr>
          <w:p w14:paraId="0B4D0325" w14:textId="77777777" w:rsidR="00FB7D60" w:rsidRPr="00424F59" w:rsidRDefault="00FB7D60">
            <w:pPr>
              <w:rPr>
                <w:sz w:val="20"/>
                <w:szCs w:val="20"/>
              </w:rPr>
            </w:pPr>
            <w:r w:rsidRPr="00424F59">
              <w:rPr>
                <w:sz w:val="20"/>
                <w:szCs w:val="20"/>
              </w:rPr>
              <w:t>Issue 2: TRM Update Cycle</w:t>
            </w:r>
          </w:p>
        </w:tc>
        <w:tc>
          <w:tcPr>
            <w:tcW w:w="2340" w:type="dxa"/>
            <w:shd w:val="clear" w:color="auto" w:fill="auto"/>
          </w:tcPr>
          <w:p w14:paraId="247E5E63" w14:textId="77777777"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AC0AA2">
              <w:rPr>
                <w:sz w:val="20"/>
                <w:szCs w:val="20"/>
              </w:rPr>
              <w:t xml:space="preserve">Some form of review must occur annually due to federal code standards and new measures.  </w:t>
            </w:r>
          </w:p>
          <w:p w14:paraId="20DE3F08" w14:textId="77777777"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AC0AA2">
              <w:rPr>
                <w:sz w:val="20"/>
                <w:szCs w:val="20"/>
              </w:rPr>
              <w:t>Understanding that the comprehensive planning cycle (EPPR, TRM, EM&amp;V, avoided costs, etc.) is all interdependent and will require a holistic view when making any adjustments.</w:t>
            </w:r>
          </w:p>
        </w:tc>
        <w:tc>
          <w:tcPr>
            <w:tcW w:w="2880" w:type="dxa"/>
            <w:shd w:val="clear" w:color="auto" w:fill="auto"/>
          </w:tcPr>
          <w:p w14:paraId="0924E81B" w14:textId="77777777"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424F59">
              <w:rPr>
                <w:sz w:val="20"/>
                <w:szCs w:val="20"/>
                <w:u w:val="single"/>
              </w:rPr>
              <w:t>Perspective 1:</w:t>
            </w:r>
            <w:r w:rsidRPr="00AC0AA2">
              <w:rPr>
                <w:sz w:val="20"/>
                <w:szCs w:val="20"/>
              </w:rPr>
              <w:t xml:space="preserve"> Move to a 2-year cycle with a light review in Year 1 to add new technologies and updated standards and a full update in year two to manage the risk of measures being eliminated.</w:t>
            </w:r>
          </w:p>
          <w:p w14:paraId="73479BFD" w14:textId="77777777"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r w:rsidRPr="00424F59">
              <w:rPr>
                <w:sz w:val="20"/>
                <w:szCs w:val="20"/>
                <w:u w:val="single"/>
              </w:rPr>
              <w:t>Perspective 2:</w:t>
            </w:r>
            <w:r w:rsidRPr="00AC0AA2">
              <w:rPr>
                <w:sz w:val="20"/>
                <w:szCs w:val="20"/>
              </w:rPr>
              <w:t xml:space="preserve"> The Texas TRM is mature, so the annual reviews are not as heavy of a lift and typically focus on federal standards and new measures.</w:t>
            </w:r>
          </w:p>
        </w:tc>
        <w:tc>
          <w:tcPr>
            <w:tcW w:w="1624" w:type="dxa"/>
            <w:shd w:val="clear" w:color="auto" w:fill="auto"/>
          </w:tcPr>
          <w:p w14:paraId="1D382DA7" w14:textId="39C41245" w:rsidR="00FB7D60" w:rsidRPr="00AC0AA2" w:rsidRDefault="00A01A04">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16 TAC </w:t>
            </w:r>
            <w:r w:rsidR="00FB7D60" w:rsidRPr="00AC0AA2">
              <w:rPr>
                <w:sz w:val="20"/>
                <w:szCs w:val="20"/>
              </w:rPr>
              <w:t>§ 25.181(o)(6)(B)</w:t>
            </w:r>
          </w:p>
        </w:tc>
        <w:tc>
          <w:tcPr>
            <w:tcW w:w="1592" w:type="dxa"/>
            <w:shd w:val="clear" w:color="auto" w:fill="auto"/>
          </w:tcPr>
          <w:p w14:paraId="0F3C1326" w14:textId="77777777" w:rsidR="00FB7D60" w:rsidRPr="00AC0AA2" w:rsidRDefault="00FB7D60">
            <w:pPr>
              <w:cnfStyle w:val="000000100000" w:firstRow="0" w:lastRow="0" w:firstColumn="0" w:lastColumn="0" w:oddVBand="0" w:evenVBand="0" w:oddHBand="1" w:evenHBand="0" w:firstRowFirstColumn="0" w:firstRowLastColumn="0" w:lastRowFirstColumn="0" w:lastRowLastColumn="0"/>
              <w:rPr>
                <w:sz w:val="20"/>
                <w:szCs w:val="20"/>
              </w:rPr>
            </w:pPr>
          </w:p>
        </w:tc>
      </w:tr>
      <w:tr w:rsidR="00FB7D60" w14:paraId="236F0FA3" w14:textId="77777777" w:rsidTr="001B094D">
        <w:trPr>
          <w:trHeight w:val="268"/>
        </w:trPr>
        <w:tc>
          <w:tcPr>
            <w:cnfStyle w:val="001000000000" w:firstRow="0" w:lastRow="0" w:firstColumn="1" w:lastColumn="0" w:oddVBand="0" w:evenVBand="0" w:oddHBand="0" w:evenHBand="0" w:firstRowFirstColumn="0" w:firstRowLastColumn="0" w:lastRowFirstColumn="0" w:lastRowLastColumn="0"/>
            <w:tcW w:w="1705" w:type="dxa"/>
            <w:shd w:val="clear" w:color="auto" w:fill="DAEEF3" w:themeFill="accent5" w:themeFillTint="33"/>
          </w:tcPr>
          <w:p w14:paraId="27BCE5ED" w14:textId="77777777" w:rsidR="00FB7D60" w:rsidRPr="00424F59" w:rsidRDefault="00FB7D60">
            <w:pPr>
              <w:rPr>
                <w:sz w:val="20"/>
                <w:szCs w:val="20"/>
              </w:rPr>
            </w:pPr>
            <w:r w:rsidRPr="00424F59">
              <w:rPr>
                <w:sz w:val="20"/>
                <w:szCs w:val="20"/>
              </w:rPr>
              <w:t>Issue 3: EM&amp;V Cycle</w:t>
            </w:r>
          </w:p>
        </w:tc>
        <w:tc>
          <w:tcPr>
            <w:tcW w:w="2340" w:type="dxa"/>
            <w:shd w:val="clear" w:color="auto" w:fill="DAEEF3" w:themeFill="accent5" w:themeFillTint="33"/>
          </w:tcPr>
          <w:p w14:paraId="14CD8353" w14:textId="77777777"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r w:rsidRPr="00AC0AA2">
              <w:rPr>
                <w:sz w:val="20"/>
                <w:szCs w:val="20"/>
              </w:rPr>
              <w:t>Understanding that the comprehensive planning cycle (EPPR, TRM, EM&amp;V, avoided costs, etc.) is all interdependent and will require a holistic view when making any adjustments.</w:t>
            </w:r>
          </w:p>
        </w:tc>
        <w:tc>
          <w:tcPr>
            <w:tcW w:w="2880" w:type="dxa"/>
            <w:shd w:val="clear" w:color="auto" w:fill="DAEEF3" w:themeFill="accent5" w:themeFillTint="33"/>
          </w:tcPr>
          <w:p w14:paraId="2B33D2E8" w14:textId="77777777"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r w:rsidRPr="00424F59">
              <w:rPr>
                <w:sz w:val="20"/>
                <w:szCs w:val="20"/>
                <w:u w:val="single"/>
              </w:rPr>
              <w:t>Perspective 1:</w:t>
            </w:r>
            <w:r w:rsidRPr="00AC0AA2">
              <w:rPr>
                <w:sz w:val="20"/>
                <w:szCs w:val="20"/>
              </w:rPr>
              <w:t xml:space="preserve"> Adjust the EM&amp;V cycle to reduce the burden or expand the timeline to 2 years to allow more opportunity for programs to achieve savings and bring the most value</w:t>
            </w:r>
          </w:p>
        </w:tc>
        <w:tc>
          <w:tcPr>
            <w:tcW w:w="1624" w:type="dxa"/>
            <w:shd w:val="clear" w:color="auto" w:fill="DAEEF3" w:themeFill="accent5" w:themeFillTint="33"/>
          </w:tcPr>
          <w:p w14:paraId="7E2EDA41" w14:textId="6F4598F3" w:rsidR="00FB7D60" w:rsidRPr="00AC0AA2" w:rsidRDefault="004A570A">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FB7D60" w:rsidRPr="00AC0AA2">
              <w:rPr>
                <w:sz w:val="20"/>
                <w:szCs w:val="20"/>
              </w:rPr>
              <w:t>(o)</w:t>
            </w:r>
          </w:p>
          <w:p w14:paraId="6677F6DB" w14:textId="5C099058"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r w:rsidRPr="00AC0AA2">
              <w:rPr>
                <w:sz w:val="20"/>
                <w:szCs w:val="20"/>
              </w:rPr>
              <w:t>§ 25.18</w:t>
            </w:r>
            <w:r w:rsidR="00424F59">
              <w:rPr>
                <w:sz w:val="20"/>
                <w:szCs w:val="20"/>
              </w:rPr>
              <w:t>2</w:t>
            </w:r>
            <w:r w:rsidRPr="00AC0AA2">
              <w:rPr>
                <w:sz w:val="20"/>
                <w:szCs w:val="20"/>
              </w:rPr>
              <w:t xml:space="preserve"> (e)</w:t>
            </w:r>
          </w:p>
          <w:p w14:paraId="23462A85" w14:textId="77777777"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p>
        </w:tc>
        <w:tc>
          <w:tcPr>
            <w:tcW w:w="1592" w:type="dxa"/>
            <w:shd w:val="clear" w:color="auto" w:fill="DAEEF3" w:themeFill="accent5" w:themeFillTint="33"/>
          </w:tcPr>
          <w:p w14:paraId="55D9E690" w14:textId="77777777"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p>
        </w:tc>
      </w:tr>
      <w:tr w:rsidR="001B094D" w14:paraId="23D82A4E" w14:textId="77777777" w:rsidTr="001B094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705" w:type="dxa"/>
            <w:shd w:val="clear" w:color="auto" w:fill="25408F"/>
            <w:vAlign w:val="bottom"/>
          </w:tcPr>
          <w:p w14:paraId="2F81B7D2" w14:textId="59AED07C" w:rsidR="001B094D" w:rsidRPr="00424F59" w:rsidRDefault="001B094D" w:rsidP="001B094D">
            <w:pPr>
              <w:pStyle w:val="TT-TableHeading"/>
            </w:pPr>
            <w:r w:rsidRPr="00424F59">
              <w:t>Key issue</w:t>
            </w:r>
          </w:p>
        </w:tc>
        <w:tc>
          <w:tcPr>
            <w:tcW w:w="2340" w:type="dxa"/>
            <w:shd w:val="clear" w:color="auto" w:fill="25408F"/>
            <w:vAlign w:val="bottom"/>
          </w:tcPr>
          <w:p w14:paraId="1E75D154" w14:textId="22811897" w:rsidR="001B094D" w:rsidRPr="00AC0AA2"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AC0AA2">
              <w:t>Areas of agreement</w:t>
            </w:r>
          </w:p>
        </w:tc>
        <w:tc>
          <w:tcPr>
            <w:tcW w:w="2880" w:type="dxa"/>
            <w:shd w:val="clear" w:color="auto" w:fill="25408F"/>
            <w:vAlign w:val="bottom"/>
          </w:tcPr>
          <w:p w14:paraId="28EC356B" w14:textId="4D990FC7" w:rsidR="001B094D" w:rsidRPr="00424F59" w:rsidRDefault="001B094D" w:rsidP="001B094D">
            <w:pPr>
              <w:pStyle w:val="TT-TableHeading"/>
              <w:cnfStyle w:val="000000100000" w:firstRow="0" w:lastRow="0" w:firstColumn="0" w:lastColumn="0" w:oddVBand="0" w:evenVBand="0" w:oddHBand="1" w:evenHBand="0" w:firstRowFirstColumn="0" w:firstRowLastColumn="0" w:lastRowFirstColumn="0" w:lastRowLastColumn="0"/>
              <w:rPr>
                <w:u w:val="single"/>
              </w:rPr>
            </w:pPr>
            <w:r w:rsidRPr="00AC0AA2">
              <w:t>Areas of debate</w:t>
            </w:r>
          </w:p>
        </w:tc>
        <w:tc>
          <w:tcPr>
            <w:tcW w:w="1624" w:type="dxa"/>
            <w:shd w:val="clear" w:color="auto" w:fill="25408F"/>
            <w:vAlign w:val="bottom"/>
          </w:tcPr>
          <w:p w14:paraId="08CA22AA" w14:textId="03FF249B" w:rsidR="001B094D"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AC0AA2">
              <w:t xml:space="preserve">Would this require legislation or rulemaking? If so, what? </w:t>
            </w:r>
          </w:p>
        </w:tc>
        <w:tc>
          <w:tcPr>
            <w:tcW w:w="1592" w:type="dxa"/>
            <w:shd w:val="clear" w:color="auto" w:fill="25408F"/>
            <w:vAlign w:val="bottom"/>
          </w:tcPr>
          <w:p w14:paraId="4DA09099" w14:textId="6E2C0395" w:rsidR="001B094D" w:rsidRPr="00AC0AA2"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AC0AA2">
              <w:t>Could another process address?</w:t>
            </w:r>
          </w:p>
        </w:tc>
      </w:tr>
      <w:tr w:rsidR="00FB7D60" w14:paraId="177430A7" w14:textId="77777777" w:rsidTr="001B094D">
        <w:trPr>
          <w:trHeight w:val="4499"/>
        </w:trPr>
        <w:tc>
          <w:tcPr>
            <w:cnfStyle w:val="001000000000" w:firstRow="0" w:lastRow="0" w:firstColumn="1" w:lastColumn="0" w:oddVBand="0" w:evenVBand="0" w:oddHBand="0" w:evenHBand="0" w:firstRowFirstColumn="0" w:firstRowLastColumn="0" w:lastRowFirstColumn="0" w:lastRowLastColumn="0"/>
            <w:tcW w:w="1705" w:type="dxa"/>
            <w:shd w:val="clear" w:color="auto" w:fill="auto"/>
          </w:tcPr>
          <w:p w14:paraId="76B79436" w14:textId="77777777" w:rsidR="00FB7D60" w:rsidRPr="00424F59" w:rsidRDefault="00FB7D60">
            <w:pPr>
              <w:rPr>
                <w:sz w:val="20"/>
                <w:szCs w:val="20"/>
              </w:rPr>
            </w:pPr>
            <w:r w:rsidRPr="00424F59">
              <w:rPr>
                <w:sz w:val="20"/>
                <w:szCs w:val="20"/>
              </w:rPr>
              <w:t>Issue 4: Stakeholder Engagement in Planning Cycle</w:t>
            </w:r>
          </w:p>
        </w:tc>
        <w:tc>
          <w:tcPr>
            <w:tcW w:w="2340" w:type="dxa"/>
            <w:shd w:val="clear" w:color="auto" w:fill="auto"/>
          </w:tcPr>
          <w:p w14:paraId="7BBDDE10" w14:textId="65121DB1"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r w:rsidRPr="00AC0AA2">
              <w:rPr>
                <w:sz w:val="20"/>
                <w:szCs w:val="20"/>
              </w:rPr>
              <w:t xml:space="preserve">Collaboration opportunities exist between </w:t>
            </w:r>
            <w:r w:rsidR="00424F59">
              <w:rPr>
                <w:sz w:val="20"/>
                <w:szCs w:val="20"/>
              </w:rPr>
              <w:t>IOUs</w:t>
            </w:r>
            <w:r w:rsidRPr="00AC0AA2">
              <w:rPr>
                <w:sz w:val="20"/>
                <w:szCs w:val="20"/>
              </w:rPr>
              <w:t xml:space="preserve">, REPs, Implementors, and Advocacy groups. </w:t>
            </w:r>
          </w:p>
        </w:tc>
        <w:tc>
          <w:tcPr>
            <w:tcW w:w="2880" w:type="dxa"/>
            <w:shd w:val="clear" w:color="auto" w:fill="auto"/>
          </w:tcPr>
          <w:p w14:paraId="3DFD1528" w14:textId="77777777"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r w:rsidRPr="00424F59">
              <w:rPr>
                <w:sz w:val="20"/>
                <w:szCs w:val="20"/>
                <w:u w:val="single"/>
              </w:rPr>
              <w:t>Perspective 1:</w:t>
            </w:r>
            <w:r w:rsidRPr="00AC0AA2">
              <w:rPr>
                <w:sz w:val="20"/>
                <w:szCs w:val="20"/>
              </w:rPr>
              <w:t xml:space="preserve"> Stakeholders voiced the need to involve and educate REPS on the program planning process. When is the right time to introduce new ideas, and what is the most effective channel for coordination and inclusion?</w:t>
            </w:r>
          </w:p>
          <w:p w14:paraId="6BEF468B" w14:textId="77777777"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r w:rsidRPr="00424F59">
              <w:rPr>
                <w:sz w:val="20"/>
                <w:szCs w:val="20"/>
                <w:u w:val="single"/>
              </w:rPr>
              <w:t>Perspective 2:</w:t>
            </w:r>
            <w:r w:rsidRPr="00AC0AA2">
              <w:rPr>
                <w:sz w:val="20"/>
                <w:szCs w:val="20"/>
              </w:rPr>
              <w:t xml:space="preserve"> Including REPs in the design phase of a program versus just the implementation would also be beneficial to overall program delivery.</w:t>
            </w:r>
          </w:p>
          <w:p w14:paraId="1A33AD43" w14:textId="77777777"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r w:rsidRPr="00424F59">
              <w:rPr>
                <w:sz w:val="20"/>
                <w:szCs w:val="20"/>
                <w:u w:val="single"/>
              </w:rPr>
              <w:t>Perspective 3:</w:t>
            </w:r>
            <w:r w:rsidRPr="00AC0AA2">
              <w:rPr>
                <w:sz w:val="20"/>
                <w:szCs w:val="20"/>
              </w:rPr>
              <w:t xml:space="preserve"> Traditionally, the EEIP process has been the forum for that engagement</w:t>
            </w:r>
          </w:p>
        </w:tc>
        <w:tc>
          <w:tcPr>
            <w:tcW w:w="1624" w:type="dxa"/>
            <w:shd w:val="clear" w:color="auto" w:fill="auto"/>
          </w:tcPr>
          <w:p w14:paraId="4B8A9E88" w14:textId="77777777"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p>
        </w:tc>
        <w:tc>
          <w:tcPr>
            <w:tcW w:w="1592" w:type="dxa"/>
            <w:shd w:val="clear" w:color="auto" w:fill="auto"/>
          </w:tcPr>
          <w:p w14:paraId="6CC6889F" w14:textId="77777777" w:rsidR="00FB7D60" w:rsidRPr="00AC0AA2" w:rsidRDefault="00FB7D60">
            <w:pPr>
              <w:cnfStyle w:val="000000000000" w:firstRow="0" w:lastRow="0" w:firstColumn="0" w:lastColumn="0" w:oddVBand="0" w:evenVBand="0" w:oddHBand="0" w:evenHBand="0" w:firstRowFirstColumn="0" w:firstRowLastColumn="0" w:lastRowFirstColumn="0" w:lastRowLastColumn="0"/>
              <w:rPr>
                <w:sz w:val="20"/>
                <w:szCs w:val="20"/>
              </w:rPr>
            </w:pPr>
            <w:r w:rsidRPr="00AC0AA2">
              <w:rPr>
                <w:sz w:val="20"/>
                <w:szCs w:val="20"/>
              </w:rPr>
              <w:t>Representation and inclusion in all EEIP meetings</w:t>
            </w:r>
          </w:p>
        </w:tc>
      </w:tr>
      <w:tr w:rsidR="00FB7D60" w14:paraId="30788759" w14:textId="77777777" w:rsidTr="001B094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705" w:type="dxa"/>
          </w:tcPr>
          <w:p w14:paraId="5F7B37EE" w14:textId="3C5A62FA" w:rsidR="00FB7D60" w:rsidRPr="00424F59" w:rsidRDefault="00FB7D60" w:rsidP="001B094D">
            <w:pPr>
              <w:keepNext/>
              <w:keepLines/>
              <w:rPr>
                <w:sz w:val="20"/>
                <w:szCs w:val="20"/>
              </w:rPr>
            </w:pPr>
            <w:r w:rsidRPr="00424F59">
              <w:rPr>
                <w:sz w:val="20"/>
                <w:szCs w:val="20"/>
              </w:rPr>
              <w:t>Issue 5: Program Options: Standard Offer</w:t>
            </w:r>
            <w:r w:rsidR="00424F59" w:rsidRPr="00424F59">
              <w:rPr>
                <w:sz w:val="20"/>
                <w:szCs w:val="20"/>
              </w:rPr>
              <w:t xml:space="preserve"> Programs (SOP)</w:t>
            </w:r>
            <w:r w:rsidRPr="00424F59">
              <w:rPr>
                <w:sz w:val="20"/>
                <w:szCs w:val="20"/>
              </w:rPr>
              <w:t>, Market Transformation Programs</w:t>
            </w:r>
            <w:r w:rsidR="00424F59" w:rsidRPr="00424F59">
              <w:rPr>
                <w:sz w:val="20"/>
                <w:szCs w:val="20"/>
              </w:rPr>
              <w:t xml:space="preserve"> (MTP)</w:t>
            </w:r>
            <w:r w:rsidRPr="00424F59">
              <w:rPr>
                <w:sz w:val="20"/>
                <w:szCs w:val="20"/>
              </w:rPr>
              <w:t>, and Self-delivered.</w:t>
            </w:r>
          </w:p>
        </w:tc>
        <w:tc>
          <w:tcPr>
            <w:tcW w:w="2340" w:type="dxa"/>
          </w:tcPr>
          <w:p w14:paraId="151D8752" w14:textId="77777777" w:rsidR="00FB7D60" w:rsidRPr="00AC0AA2" w:rsidRDefault="00FB7D60"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AC0AA2">
              <w:rPr>
                <w:sz w:val="20"/>
                <w:szCs w:val="20"/>
              </w:rPr>
              <w:t xml:space="preserve">SOP and MTP seem to be offering the right flexibility in program offerings for utilities. </w:t>
            </w:r>
          </w:p>
          <w:p w14:paraId="43DA9BA2" w14:textId="77777777" w:rsidR="00FB7D60" w:rsidRPr="00AC0AA2" w:rsidRDefault="00FB7D60"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AC0AA2">
              <w:rPr>
                <w:sz w:val="20"/>
                <w:szCs w:val="20"/>
              </w:rPr>
              <w:t xml:space="preserve">Having only 1 Year to run a pilot is not enough time. Pilot programs need more time to stand up, learn, and adjust the program to realize the full benefits. </w:t>
            </w:r>
          </w:p>
        </w:tc>
        <w:tc>
          <w:tcPr>
            <w:tcW w:w="2880" w:type="dxa"/>
          </w:tcPr>
          <w:p w14:paraId="349165CD" w14:textId="77777777" w:rsidR="00FB7D60" w:rsidRPr="00AC0AA2" w:rsidRDefault="00FB7D60"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424F59">
              <w:rPr>
                <w:sz w:val="20"/>
                <w:szCs w:val="20"/>
                <w:u w:val="single"/>
              </w:rPr>
              <w:t>Perspective 1</w:t>
            </w:r>
            <w:r w:rsidRPr="00AC0AA2">
              <w:rPr>
                <w:sz w:val="20"/>
                <w:szCs w:val="20"/>
              </w:rPr>
              <w:t>: Adding a Pilot Program classification to accommodate a longer program duration.</w:t>
            </w:r>
          </w:p>
          <w:p w14:paraId="693B5247" w14:textId="77777777" w:rsidR="00FB7D60" w:rsidRPr="00AC0AA2" w:rsidRDefault="00FB7D60"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424F59">
              <w:rPr>
                <w:sz w:val="20"/>
                <w:szCs w:val="20"/>
                <w:u w:val="single"/>
              </w:rPr>
              <w:t>Perspective 2:</w:t>
            </w:r>
            <w:r w:rsidRPr="00AC0AA2">
              <w:rPr>
                <w:sz w:val="20"/>
                <w:szCs w:val="20"/>
              </w:rPr>
              <w:t xml:space="preserve"> Through self-delivered programs, utilities should be able to provide incentives directly to customers more easily without approval from the PUC.</w:t>
            </w:r>
          </w:p>
          <w:p w14:paraId="0AB1A87F" w14:textId="77777777" w:rsidR="00FB7D60" w:rsidRPr="00AC0AA2" w:rsidRDefault="00FB7D60"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424F59">
              <w:rPr>
                <w:sz w:val="20"/>
                <w:szCs w:val="20"/>
                <w:u w:val="single"/>
              </w:rPr>
              <w:t>Perspective 3:</w:t>
            </w:r>
            <w:r w:rsidRPr="00AC0AA2">
              <w:rPr>
                <w:sz w:val="20"/>
                <w:szCs w:val="20"/>
              </w:rPr>
              <w:t xml:space="preserve"> Given the Texas market's competitive nature, some approval from the PUC is needed for that self-delivered classification.</w:t>
            </w:r>
          </w:p>
        </w:tc>
        <w:tc>
          <w:tcPr>
            <w:tcW w:w="1624" w:type="dxa"/>
          </w:tcPr>
          <w:p w14:paraId="5C99D837" w14:textId="2F5F7263" w:rsidR="00FB7D60" w:rsidRPr="00AC0AA2" w:rsidRDefault="00FB7D60"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AC0AA2">
              <w:rPr>
                <w:sz w:val="20"/>
                <w:szCs w:val="20"/>
              </w:rPr>
              <w:t xml:space="preserve"> §</w:t>
            </w:r>
            <w:r w:rsidR="004A570A">
              <w:rPr>
                <w:sz w:val="20"/>
                <w:szCs w:val="20"/>
              </w:rPr>
              <w:t>16 TAC §25.181</w:t>
            </w:r>
            <w:r w:rsidRPr="00AC0AA2">
              <w:rPr>
                <w:sz w:val="20"/>
                <w:szCs w:val="20"/>
              </w:rPr>
              <w:t>(h)(i)(j)(k</w:t>
            </w:r>
            <w:r w:rsidR="00424F59">
              <w:rPr>
                <w:sz w:val="20"/>
                <w:szCs w:val="20"/>
              </w:rPr>
              <w:t>)</w:t>
            </w:r>
          </w:p>
          <w:p w14:paraId="08C0CC14" w14:textId="7489B94F" w:rsidR="00FB7D60" w:rsidRPr="00AC0AA2" w:rsidRDefault="00FB7D60"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AC0AA2">
              <w:rPr>
                <w:sz w:val="20"/>
                <w:szCs w:val="20"/>
              </w:rPr>
              <w:t>§</w:t>
            </w:r>
            <w:r w:rsidR="004A570A">
              <w:rPr>
                <w:sz w:val="20"/>
                <w:szCs w:val="20"/>
              </w:rPr>
              <w:t>16 TAC §25.181</w:t>
            </w:r>
            <w:r w:rsidRPr="00AC0AA2">
              <w:rPr>
                <w:sz w:val="20"/>
                <w:szCs w:val="20"/>
              </w:rPr>
              <w:t xml:space="preserve"> (l)(2)(V) Defining a pilot may need to be added to </w:t>
            </w:r>
            <w:r w:rsidR="0014083D">
              <w:rPr>
                <w:sz w:val="20"/>
                <w:szCs w:val="20"/>
              </w:rPr>
              <w:t>16 TAC §25.181</w:t>
            </w:r>
            <w:r w:rsidRPr="00AC0AA2">
              <w:rPr>
                <w:sz w:val="20"/>
                <w:szCs w:val="20"/>
              </w:rPr>
              <w:t>, clearly allowing longer than a year if the planning cycle remains annual.</w:t>
            </w:r>
          </w:p>
        </w:tc>
        <w:tc>
          <w:tcPr>
            <w:tcW w:w="1592" w:type="dxa"/>
          </w:tcPr>
          <w:p w14:paraId="6761DD6D" w14:textId="77777777" w:rsidR="00FB7D60" w:rsidRPr="00AC0AA2" w:rsidRDefault="00FB7D60"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p>
        </w:tc>
      </w:tr>
    </w:tbl>
    <w:p w14:paraId="5ABCD14E" w14:textId="15E9BDDB" w:rsidR="002E75F8" w:rsidRDefault="002E75F8" w:rsidP="002E75F8">
      <w:pPr>
        <w:pStyle w:val="NumberedList"/>
        <w:numPr>
          <w:ilvl w:val="0"/>
          <w:numId w:val="0"/>
        </w:numPr>
      </w:pPr>
      <w:r>
        <w:t xml:space="preserve"> </w:t>
      </w:r>
    </w:p>
    <w:p w14:paraId="376C8933" w14:textId="11136348" w:rsidR="004852A6" w:rsidRDefault="004852A6" w:rsidP="004852A6">
      <w:pPr>
        <w:rPr>
          <w:b/>
          <w:bCs/>
          <w:sz w:val="24"/>
          <w:szCs w:val="24"/>
        </w:rPr>
      </w:pPr>
      <w:r w:rsidRPr="00957BD4">
        <w:rPr>
          <w:b/>
          <w:bCs/>
          <w:sz w:val="24"/>
          <w:szCs w:val="24"/>
        </w:rPr>
        <w:t>Session 2 February 9</w:t>
      </w:r>
      <w:r w:rsidRPr="00957BD4">
        <w:rPr>
          <w:b/>
          <w:bCs/>
          <w:sz w:val="24"/>
          <w:szCs w:val="24"/>
          <w:vertAlign w:val="superscript"/>
        </w:rPr>
        <w:t>th</w:t>
      </w:r>
      <w:r w:rsidRPr="00957BD4">
        <w:rPr>
          <w:b/>
          <w:bCs/>
          <w:sz w:val="24"/>
          <w:szCs w:val="24"/>
        </w:rPr>
        <w:t>, 2023</w:t>
      </w:r>
      <w:r w:rsidR="002A5715">
        <w:rPr>
          <w:b/>
          <w:bCs/>
          <w:sz w:val="24"/>
          <w:szCs w:val="24"/>
        </w:rPr>
        <w:t xml:space="preserve">: </w:t>
      </w:r>
      <w:r w:rsidR="002A5715" w:rsidRPr="002A5715">
        <w:rPr>
          <w:b/>
          <w:bCs/>
          <w:sz w:val="24"/>
          <w:szCs w:val="24"/>
        </w:rPr>
        <w:t>Avoided Costs and Cost-effectiveness standard:</w:t>
      </w:r>
    </w:p>
    <w:p w14:paraId="48D33DE0" w14:textId="702B9726" w:rsidR="009B1EAB" w:rsidRPr="00957BD4" w:rsidRDefault="009B1EAB" w:rsidP="009B1EAB">
      <w:r w:rsidRPr="00957BD4">
        <w:rPr>
          <w:rFonts w:eastAsia="Calibri"/>
        </w:rPr>
        <w:t>The table below summarizes the key issues identified and places a priority/level of effort for addressing the issue in a rulemaking</w:t>
      </w:r>
      <w:r w:rsidR="002A5715">
        <w:rPr>
          <w:rFonts w:eastAsia="Calibri"/>
        </w:rPr>
        <w:t xml:space="preserve"> and/or legislative change</w:t>
      </w:r>
      <w:r w:rsidRPr="00957BD4">
        <w:t xml:space="preserve">. </w:t>
      </w:r>
    </w:p>
    <w:tbl>
      <w:tblPr>
        <w:tblStyle w:val="GridTable4-Accent5"/>
        <w:tblW w:w="100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032"/>
        <w:gridCol w:w="4319"/>
        <w:gridCol w:w="3724"/>
      </w:tblGrid>
      <w:tr w:rsidR="009B1EAB" w14:paraId="3F29B18F" w14:textId="77777777" w:rsidTr="001B094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32" w:type="dxa"/>
            <w:tcBorders>
              <w:top w:val="none" w:sz="0" w:space="0" w:color="auto"/>
              <w:left w:val="none" w:sz="0" w:space="0" w:color="auto"/>
              <w:bottom w:val="none" w:sz="0" w:space="0" w:color="auto"/>
              <w:right w:val="none" w:sz="0" w:space="0" w:color="auto"/>
            </w:tcBorders>
            <w:shd w:val="clear" w:color="auto" w:fill="25408F"/>
          </w:tcPr>
          <w:p w14:paraId="6AF99D81" w14:textId="77777777" w:rsidR="009B1EAB" w:rsidRPr="002A5715" w:rsidRDefault="009B1EAB" w:rsidP="001B094D">
            <w:pPr>
              <w:pStyle w:val="TT-TableHeading"/>
            </w:pPr>
            <w:r w:rsidRPr="002A5715">
              <w:t>Issue</w:t>
            </w:r>
          </w:p>
        </w:tc>
        <w:tc>
          <w:tcPr>
            <w:tcW w:w="4319" w:type="dxa"/>
            <w:tcBorders>
              <w:top w:val="none" w:sz="0" w:space="0" w:color="auto"/>
              <w:left w:val="none" w:sz="0" w:space="0" w:color="auto"/>
              <w:bottom w:val="none" w:sz="0" w:space="0" w:color="auto"/>
              <w:right w:val="none" w:sz="0" w:space="0" w:color="auto"/>
            </w:tcBorders>
            <w:shd w:val="clear" w:color="auto" w:fill="25408F"/>
          </w:tcPr>
          <w:p w14:paraId="051C439F" w14:textId="77777777" w:rsidR="009B1EAB" w:rsidRPr="00957BD4" w:rsidRDefault="009B1EAB" w:rsidP="001B094D">
            <w:pPr>
              <w:pStyle w:val="TT-TableHeading"/>
              <w:cnfStyle w:val="100000000000" w:firstRow="1" w:lastRow="0" w:firstColumn="0" w:lastColumn="0" w:oddVBand="0" w:evenVBand="0" w:oddHBand="0" w:evenHBand="0" w:firstRowFirstColumn="0" w:firstRowLastColumn="0" w:lastRowFirstColumn="0" w:lastRowLastColumn="0"/>
              <w:rPr>
                <w:b w:val="0"/>
                <w:bCs/>
              </w:rPr>
            </w:pPr>
            <w:r w:rsidRPr="00957BD4">
              <w:rPr>
                <w:b w:val="0"/>
              </w:rPr>
              <w:t>Summary</w:t>
            </w:r>
          </w:p>
        </w:tc>
        <w:tc>
          <w:tcPr>
            <w:tcW w:w="3724" w:type="dxa"/>
            <w:tcBorders>
              <w:top w:val="none" w:sz="0" w:space="0" w:color="auto"/>
              <w:left w:val="none" w:sz="0" w:space="0" w:color="auto"/>
              <w:bottom w:val="none" w:sz="0" w:space="0" w:color="auto"/>
              <w:right w:val="none" w:sz="0" w:space="0" w:color="auto"/>
            </w:tcBorders>
            <w:shd w:val="clear" w:color="auto" w:fill="25408F"/>
          </w:tcPr>
          <w:p w14:paraId="285AD1A7" w14:textId="357BD233" w:rsidR="009B1EAB" w:rsidRPr="00957BD4" w:rsidRDefault="009B1EAB" w:rsidP="001B094D">
            <w:pPr>
              <w:pStyle w:val="TT-TableHeading"/>
              <w:cnfStyle w:val="100000000000" w:firstRow="1" w:lastRow="0" w:firstColumn="0" w:lastColumn="0" w:oddVBand="0" w:evenVBand="0" w:oddHBand="0" w:evenHBand="0" w:firstRowFirstColumn="0" w:firstRowLastColumn="0" w:lastRowFirstColumn="0" w:lastRowLastColumn="0"/>
              <w:rPr>
                <w:b w:val="0"/>
                <w:bCs/>
              </w:rPr>
            </w:pPr>
            <w:r w:rsidRPr="00957BD4">
              <w:rPr>
                <w:b w:val="0"/>
              </w:rPr>
              <w:t xml:space="preserve">Working Group </w:t>
            </w:r>
            <w:r w:rsidR="001B094D" w:rsidRPr="00957BD4">
              <w:rPr>
                <w:b w:val="0"/>
              </w:rPr>
              <w:t>priority and why</w:t>
            </w:r>
          </w:p>
        </w:tc>
      </w:tr>
      <w:tr w:rsidR="009B1EAB" w14:paraId="7C0A9744" w14:textId="77777777" w:rsidTr="001B09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tcPr>
          <w:p w14:paraId="3D8D9623" w14:textId="77777777" w:rsidR="009B1EAB" w:rsidRPr="002A5715" w:rsidRDefault="009B1EAB">
            <w:pPr>
              <w:rPr>
                <w:sz w:val="20"/>
                <w:szCs w:val="20"/>
              </w:rPr>
            </w:pPr>
            <w:r w:rsidRPr="002A5715">
              <w:rPr>
                <w:sz w:val="20"/>
                <w:szCs w:val="20"/>
              </w:rPr>
              <w:t>Issue 1: Method of Avoided Costs Calculation Capacity</w:t>
            </w:r>
          </w:p>
        </w:tc>
        <w:tc>
          <w:tcPr>
            <w:tcW w:w="4319" w:type="dxa"/>
          </w:tcPr>
          <w:p w14:paraId="7BC598B9" w14:textId="77777777" w:rsidR="009B1EAB" w:rsidRPr="00957BD4" w:rsidRDefault="009B1EAB">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rPr>
              <w:t>Since 2010, the cost-effectiveness standard has evolved around avoided cost of capacity and avoided cost of energy. Capacity is calculated by the commission from the base overnight cost using the lower of a new conventional or a new advanced combustion turbine as reported by EIA. Non-ERCOT utilities have the option to use their own avoided costs</w:t>
            </w:r>
          </w:p>
        </w:tc>
        <w:tc>
          <w:tcPr>
            <w:tcW w:w="3724" w:type="dxa"/>
          </w:tcPr>
          <w:p w14:paraId="6680F381" w14:textId="77777777" w:rsidR="009B1EAB" w:rsidRPr="00957BD4" w:rsidRDefault="009B1EAB">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u w:val="single"/>
              </w:rPr>
              <w:t>High Priority:</w:t>
            </w:r>
            <w:r w:rsidRPr="00957BD4">
              <w:rPr>
                <w:sz w:val="20"/>
                <w:szCs w:val="20"/>
              </w:rPr>
              <w:t xml:space="preserve"> Stakeholders identified that the avoided cost of capacity had been the same at $80 per kW for over a decade. The calculation may not accurately capture the full value of EE programs.</w:t>
            </w:r>
          </w:p>
        </w:tc>
      </w:tr>
      <w:tr w:rsidR="001B094D" w14:paraId="59C9637E" w14:textId="77777777" w:rsidTr="001B094D">
        <w:tc>
          <w:tcPr>
            <w:cnfStyle w:val="001000000000" w:firstRow="0" w:lastRow="0" w:firstColumn="1" w:lastColumn="0" w:oddVBand="0" w:evenVBand="0" w:oddHBand="0" w:evenHBand="0" w:firstRowFirstColumn="0" w:firstRowLastColumn="0" w:lastRowFirstColumn="0" w:lastRowLastColumn="0"/>
            <w:tcW w:w="2032" w:type="dxa"/>
            <w:shd w:val="clear" w:color="auto" w:fill="25408F"/>
          </w:tcPr>
          <w:p w14:paraId="570718A4" w14:textId="34980A1E" w:rsidR="001B094D" w:rsidRPr="002A5715" w:rsidRDefault="001B094D" w:rsidP="001B094D">
            <w:pPr>
              <w:pStyle w:val="TT-TableHeading"/>
            </w:pPr>
            <w:r w:rsidRPr="002A5715">
              <w:t>Issue</w:t>
            </w:r>
          </w:p>
        </w:tc>
        <w:tc>
          <w:tcPr>
            <w:tcW w:w="4319" w:type="dxa"/>
            <w:shd w:val="clear" w:color="auto" w:fill="25408F"/>
          </w:tcPr>
          <w:p w14:paraId="46493F0B" w14:textId="47C8E59C" w:rsidR="001B094D" w:rsidRPr="00957BD4"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957BD4">
              <w:t>Summary</w:t>
            </w:r>
          </w:p>
        </w:tc>
        <w:tc>
          <w:tcPr>
            <w:tcW w:w="3724" w:type="dxa"/>
            <w:shd w:val="clear" w:color="auto" w:fill="25408F"/>
          </w:tcPr>
          <w:p w14:paraId="03045F51" w14:textId="011D5ACE" w:rsidR="001B094D" w:rsidRPr="00957BD4" w:rsidRDefault="001B094D" w:rsidP="001B094D">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957BD4">
              <w:t>Working Group priority and why</w:t>
            </w:r>
          </w:p>
        </w:tc>
      </w:tr>
      <w:tr w:rsidR="009B1EAB" w14:paraId="00BF8BBF" w14:textId="77777777" w:rsidTr="001B09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shd w:val="clear" w:color="auto" w:fill="auto"/>
          </w:tcPr>
          <w:p w14:paraId="3D5A1220" w14:textId="77777777" w:rsidR="009B1EAB" w:rsidRPr="002A5715" w:rsidRDefault="009B1EAB">
            <w:pPr>
              <w:rPr>
                <w:sz w:val="20"/>
                <w:szCs w:val="20"/>
              </w:rPr>
            </w:pPr>
            <w:r w:rsidRPr="002A5715">
              <w:rPr>
                <w:sz w:val="20"/>
                <w:szCs w:val="20"/>
              </w:rPr>
              <w:t>Issue 2: Method of Avoided Costs Calculation Energy</w:t>
            </w:r>
          </w:p>
        </w:tc>
        <w:tc>
          <w:tcPr>
            <w:tcW w:w="4319" w:type="dxa"/>
            <w:shd w:val="clear" w:color="auto" w:fill="auto"/>
          </w:tcPr>
          <w:p w14:paraId="43762A5E" w14:textId="77777777" w:rsidR="009B1EAB" w:rsidRPr="00957BD4" w:rsidRDefault="009B1EAB">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rPr>
              <w:t>Since 2010, the cost-effectiveness standard has evolved around avoided cost of capacity and avoided cost of energy. ERCOT calculates avoided cost of energy from the load-weighted average of wholesale prices for the peak periods from the two previous winter and summer peaks. Non-ERCOT utilities have the option to use their own avoided costs.</w:t>
            </w:r>
          </w:p>
        </w:tc>
        <w:tc>
          <w:tcPr>
            <w:tcW w:w="3724" w:type="dxa"/>
            <w:shd w:val="clear" w:color="auto" w:fill="auto"/>
          </w:tcPr>
          <w:p w14:paraId="274442B3" w14:textId="77777777" w:rsidR="009B1EAB" w:rsidRPr="00957BD4" w:rsidRDefault="009B1EAB">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u w:val="single"/>
              </w:rPr>
              <w:t>High Priority:</w:t>
            </w:r>
            <w:r w:rsidRPr="00957BD4">
              <w:rPr>
                <w:sz w:val="20"/>
                <w:szCs w:val="20"/>
              </w:rPr>
              <w:t xml:space="preserve"> Stakeholders voiced wanting to review the calculation method to help level the volatility in energy prices used in Workshop 1.</w:t>
            </w:r>
          </w:p>
        </w:tc>
      </w:tr>
      <w:tr w:rsidR="009B1EAB" w14:paraId="15F61C94" w14:textId="77777777" w:rsidTr="001B094D">
        <w:trPr>
          <w:trHeight w:val="125"/>
        </w:trPr>
        <w:tc>
          <w:tcPr>
            <w:cnfStyle w:val="001000000000" w:firstRow="0" w:lastRow="0" w:firstColumn="1" w:lastColumn="0" w:oddVBand="0" w:evenVBand="0" w:oddHBand="0" w:evenHBand="0" w:firstRowFirstColumn="0" w:firstRowLastColumn="0" w:lastRowFirstColumn="0" w:lastRowLastColumn="0"/>
            <w:tcW w:w="2032" w:type="dxa"/>
            <w:shd w:val="clear" w:color="auto" w:fill="DAEEF3" w:themeFill="accent5" w:themeFillTint="33"/>
          </w:tcPr>
          <w:p w14:paraId="4F60D323" w14:textId="77777777" w:rsidR="009B1EAB" w:rsidRPr="002A5715" w:rsidRDefault="009B1EAB" w:rsidP="001B094D">
            <w:pPr>
              <w:keepNext/>
              <w:keepLines/>
              <w:rPr>
                <w:sz w:val="20"/>
                <w:szCs w:val="20"/>
              </w:rPr>
            </w:pPr>
            <w:r w:rsidRPr="002A5715">
              <w:rPr>
                <w:sz w:val="20"/>
                <w:szCs w:val="20"/>
              </w:rPr>
              <w:t>Issue 3: Methodology of calculation Avoided Retail Energy (kWh) value used in SIR</w:t>
            </w:r>
          </w:p>
        </w:tc>
        <w:tc>
          <w:tcPr>
            <w:tcW w:w="4319" w:type="dxa"/>
            <w:shd w:val="clear" w:color="auto" w:fill="DAEEF3" w:themeFill="accent5" w:themeFillTint="33"/>
          </w:tcPr>
          <w:p w14:paraId="5090BAC2" w14:textId="77777777" w:rsidR="009B1EAB" w:rsidRPr="00957BD4" w:rsidRDefault="009B1EAB"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rPr>
              <w:t xml:space="preserve">The SIR is used for Targeted Low-Income Programs. Savings-to-Investment Ration (SIR) is the ratio of the present value of a customer's estimated lifetime electricity cost savings from EE measures to the present value of the installation costs, inclusive of any incidental repairs, of those EE measures. This is forecasted during the planning stage and finalized at the end of the program year. </w:t>
            </w:r>
          </w:p>
        </w:tc>
        <w:tc>
          <w:tcPr>
            <w:tcW w:w="3724" w:type="dxa"/>
            <w:shd w:val="clear" w:color="auto" w:fill="DAEEF3" w:themeFill="accent5" w:themeFillTint="33"/>
          </w:tcPr>
          <w:p w14:paraId="5B598FFF" w14:textId="77777777" w:rsidR="009B1EAB" w:rsidRPr="00957BD4" w:rsidRDefault="009B1EAB"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u w:val="single"/>
              </w:rPr>
              <w:t>Low Priority:</w:t>
            </w:r>
            <w:r w:rsidRPr="00957BD4">
              <w:rPr>
                <w:sz w:val="20"/>
                <w:szCs w:val="20"/>
              </w:rPr>
              <w:t xml:space="preserve"> – may not require a rule change - Stakeholders voiced a consistent method should be agreed to calculate Avoided Retail energy Value used in the SIR calculation to avoid confusion and timing issues with a fluctuating market</w:t>
            </w:r>
          </w:p>
        </w:tc>
      </w:tr>
      <w:tr w:rsidR="001B094D" w14:paraId="1DF5CF3F" w14:textId="77777777" w:rsidTr="001B094D">
        <w:trPr>
          <w:cnfStyle w:val="000000100000" w:firstRow="0" w:lastRow="0" w:firstColumn="0" w:lastColumn="0" w:oddVBand="0" w:evenVBand="0" w:oddHBand="1" w:evenHBand="0" w:firstRowFirstColumn="0" w:firstRowLastColumn="0" w:lastRowFirstColumn="0" w:lastRowLastColumn="0"/>
          <w:trHeight w:val="125"/>
        </w:trPr>
        <w:tc>
          <w:tcPr>
            <w:cnfStyle w:val="001000000000" w:firstRow="0" w:lastRow="0" w:firstColumn="1" w:lastColumn="0" w:oddVBand="0" w:evenVBand="0" w:oddHBand="0" w:evenHBand="0" w:firstRowFirstColumn="0" w:firstRowLastColumn="0" w:lastRowFirstColumn="0" w:lastRowLastColumn="0"/>
            <w:tcW w:w="2032" w:type="dxa"/>
            <w:shd w:val="clear" w:color="auto" w:fill="25408F"/>
          </w:tcPr>
          <w:p w14:paraId="13380354" w14:textId="3A88D446" w:rsidR="001B094D" w:rsidRPr="002A5715" w:rsidRDefault="001B094D" w:rsidP="001B094D">
            <w:pPr>
              <w:pStyle w:val="TT-TableHeading"/>
            </w:pPr>
            <w:r w:rsidRPr="002A5715">
              <w:t>Issue</w:t>
            </w:r>
          </w:p>
        </w:tc>
        <w:tc>
          <w:tcPr>
            <w:tcW w:w="4319" w:type="dxa"/>
            <w:shd w:val="clear" w:color="auto" w:fill="25408F"/>
          </w:tcPr>
          <w:p w14:paraId="66E46316" w14:textId="2E445F2B" w:rsidR="001B094D" w:rsidRPr="00957BD4"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957BD4">
              <w:t>Summary</w:t>
            </w:r>
          </w:p>
        </w:tc>
        <w:tc>
          <w:tcPr>
            <w:tcW w:w="3724" w:type="dxa"/>
            <w:shd w:val="clear" w:color="auto" w:fill="25408F"/>
          </w:tcPr>
          <w:p w14:paraId="62BA3E53" w14:textId="1003B104" w:rsidR="001B094D" w:rsidRPr="00957BD4" w:rsidRDefault="001B094D" w:rsidP="001B094D">
            <w:pPr>
              <w:pStyle w:val="TT-TableHeading"/>
              <w:cnfStyle w:val="000000100000" w:firstRow="0" w:lastRow="0" w:firstColumn="0" w:lastColumn="0" w:oddVBand="0" w:evenVBand="0" w:oddHBand="1" w:evenHBand="0" w:firstRowFirstColumn="0" w:firstRowLastColumn="0" w:lastRowFirstColumn="0" w:lastRowLastColumn="0"/>
              <w:rPr>
                <w:u w:val="single"/>
              </w:rPr>
            </w:pPr>
            <w:r w:rsidRPr="00957BD4">
              <w:t>Working Group priority and why</w:t>
            </w:r>
          </w:p>
        </w:tc>
      </w:tr>
      <w:tr w:rsidR="009B1EAB" w14:paraId="524D0FFD" w14:textId="77777777" w:rsidTr="001B094D">
        <w:tc>
          <w:tcPr>
            <w:cnfStyle w:val="001000000000" w:firstRow="0" w:lastRow="0" w:firstColumn="1" w:lastColumn="0" w:oddVBand="0" w:evenVBand="0" w:oddHBand="0" w:evenHBand="0" w:firstRowFirstColumn="0" w:firstRowLastColumn="0" w:lastRowFirstColumn="0" w:lastRowLastColumn="0"/>
            <w:tcW w:w="2032" w:type="dxa"/>
            <w:shd w:val="clear" w:color="auto" w:fill="auto"/>
          </w:tcPr>
          <w:p w14:paraId="1DB325AC" w14:textId="77777777" w:rsidR="009B1EAB" w:rsidRPr="002A5715" w:rsidRDefault="009B1EAB">
            <w:pPr>
              <w:rPr>
                <w:sz w:val="20"/>
                <w:szCs w:val="20"/>
              </w:rPr>
            </w:pPr>
            <w:r w:rsidRPr="002A5715">
              <w:rPr>
                <w:sz w:val="20"/>
                <w:szCs w:val="20"/>
              </w:rPr>
              <w:t>Issue 4: Timeline of Avoided Cost Calculation Energy &amp; Capacity</w:t>
            </w:r>
          </w:p>
        </w:tc>
        <w:tc>
          <w:tcPr>
            <w:tcW w:w="4319" w:type="dxa"/>
            <w:shd w:val="clear" w:color="auto" w:fill="auto"/>
          </w:tcPr>
          <w:p w14:paraId="7CB8EB08"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rPr>
              <w:t>Each November, avoided costs are calculated.</w:t>
            </w:r>
          </w:p>
        </w:tc>
        <w:tc>
          <w:tcPr>
            <w:tcW w:w="3724" w:type="dxa"/>
            <w:shd w:val="clear" w:color="auto" w:fill="auto"/>
          </w:tcPr>
          <w:p w14:paraId="5D1D90E9"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u w:val="single"/>
              </w:rPr>
              <w:t>High Priority:</w:t>
            </w:r>
            <w:r w:rsidRPr="00957BD4">
              <w:rPr>
                <w:sz w:val="20"/>
                <w:szCs w:val="20"/>
              </w:rPr>
              <w:t xml:space="preserve">  The timing of November published avoided costs does not align with the April 1</w:t>
            </w:r>
            <w:r w:rsidRPr="00957BD4">
              <w:rPr>
                <w:sz w:val="20"/>
                <w:szCs w:val="20"/>
                <w:vertAlign w:val="superscript"/>
              </w:rPr>
              <w:t>st</w:t>
            </w:r>
            <w:r w:rsidRPr="00957BD4">
              <w:rPr>
                <w:sz w:val="20"/>
                <w:szCs w:val="20"/>
              </w:rPr>
              <w:t xml:space="preserve"> EPPR filings. In other words, programs are filed before updated avoided costs. This can cause conflict with program filings and cost-effectiveness calculations. This was discussed in workshop 1.</w:t>
            </w:r>
          </w:p>
        </w:tc>
      </w:tr>
      <w:tr w:rsidR="001B094D" w14:paraId="6F4DB561" w14:textId="77777777" w:rsidTr="001B09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shd w:val="clear" w:color="auto" w:fill="25408F"/>
          </w:tcPr>
          <w:p w14:paraId="092CC540" w14:textId="3D01A4DE" w:rsidR="001B094D" w:rsidRPr="002A5715" w:rsidRDefault="001B094D" w:rsidP="001B094D">
            <w:pPr>
              <w:pStyle w:val="TT-TableHeading"/>
            </w:pPr>
            <w:r w:rsidRPr="002A5715">
              <w:t>Issue</w:t>
            </w:r>
          </w:p>
        </w:tc>
        <w:tc>
          <w:tcPr>
            <w:tcW w:w="4319" w:type="dxa"/>
            <w:shd w:val="clear" w:color="auto" w:fill="25408F"/>
          </w:tcPr>
          <w:p w14:paraId="1597D7FB" w14:textId="031EB57D" w:rsidR="001B094D" w:rsidRPr="00957BD4"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957BD4">
              <w:t>Summary</w:t>
            </w:r>
          </w:p>
        </w:tc>
        <w:tc>
          <w:tcPr>
            <w:tcW w:w="3724" w:type="dxa"/>
            <w:shd w:val="clear" w:color="auto" w:fill="25408F"/>
          </w:tcPr>
          <w:p w14:paraId="7D4586B4" w14:textId="4C25404B" w:rsidR="001B094D" w:rsidRPr="00957BD4" w:rsidRDefault="001B094D" w:rsidP="001B094D">
            <w:pPr>
              <w:pStyle w:val="TT-TableHeading"/>
              <w:cnfStyle w:val="000000100000" w:firstRow="0" w:lastRow="0" w:firstColumn="0" w:lastColumn="0" w:oddVBand="0" w:evenVBand="0" w:oddHBand="1" w:evenHBand="0" w:firstRowFirstColumn="0" w:firstRowLastColumn="0" w:lastRowFirstColumn="0" w:lastRowLastColumn="0"/>
              <w:rPr>
                <w:u w:val="single"/>
              </w:rPr>
            </w:pPr>
            <w:r w:rsidRPr="00957BD4">
              <w:t>Working Group priority and why</w:t>
            </w:r>
          </w:p>
        </w:tc>
      </w:tr>
      <w:tr w:rsidR="009B1EAB" w14:paraId="345051AA" w14:textId="77777777" w:rsidTr="001B094D">
        <w:tc>
          <w:tcPr>
            <w:cnfStyle w:val="001000000000" w:firstRow="0" w:lastRow="0" w:firstColumn="1" w:lastColumn="0" w:oddVBand="0" w:evenVBand="0" w:oddHBand="0" w:evenHBand="0" w:firstRowFirstColumn="0" w:firstRowLastColumn="0" w:lastRowFirstColumn="0" w:lastRowLastColumn="0"/>
            <w:tcW w:w="2032" w:type="dxa"/>
            <w:shd w:val="clear" w:color="auto" w:fill="DAEEF3" w:themeFill="accent5" w:themeFillTint="33"/>
          </w:tcPr>
          <w:p w14:paraId="716B327A" w14:textId="77777777" w:rsidR="009B1EAB" w:rsidRPr="002A5715" w:rsidRDefault="009B1EAB">
            <w:pPr>
              <w:rPr>
                <w:sz w:val="20"/>
                <w:szCs w:val="20"/>
              </w:rPr>
            </w:pPr>
            <w:r w:rsidRPr="002A5715">
              <w:rPr>
                <w:sz w:val="20"/>
                <w:szCs w:val="20"/>
              </w:rPr>
              <w:t>Issue 5: Cost-effectiveness Standards</w:t>
            </w:r>
          </w:p>
        </w:tc>
        <w:tc>
          <w:tcPr>
            <w:tcW w:w="4319" w:type="dxa"/>
            <w:shd w:val="clear" w:color="auto" w:fill="DAEEF3" w:themeFill="accent5" w:themeFillTint="33"/>
          </w:tcPr>
          <w:p w14:paraId="387C5CCB"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rPr>
              <w:t xml:space="preserve">The cost-effectiveness standard is the Utility Cost Test (UCT). </w:t>
            </w:r>
          </w:p>
        </w:tc>
        <w:tc>
          <w:tcPr>
            <w:tcW w:w="3724" w:type="dxa"/>
            <w:shd w:val="clear" w:color="auto" w:fill="DAEEF3" w:themeFill="accent5" w:themeFillTint="33"/>
          </w:tcPr>
          <w:p w14:paraId="1600B5EF"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u w:val="single"/>
              </w:rPr>
              <w:t>Medium Priority:</w:t>
            </w:r>
            <w:r w:rsidRPr="00957BD4">
              <w:rPr>
                <w:sz w:val="20"/>
                <w:szCs w:val="20"/>
              </w:rPr>
              <w:t xml:space="preserve"> An EE program is deemed cost-effective if the program's cost to the utility is less than or equal to the program's benefits. UCT is not called out specifically. </w:t>
            </w:r>
          </w:p>
        </w:tc>
      </w:tr>
      <w:tr w:rsidR="001B094D" w14:paraId="4CC621C9" w14:textId="77777777" w:rsidTr="001B09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shd w:val="clear" w:color="auto" w:fill="25408F"/>
          </w:tcPr>
          <w:p w14:paraId="7155CFC7" w14:textId="14840551" w:rsidR="001B094D" w:rsidRPr="002A5715" w:rsidRDefault="001B094D" w:rsidP="001B094D">
            <w:pPr>
              <w:pStyle w:val="TT-TableHeading"/>
            </w:pPr>
            <w:r w:rsidRPr="002A5715">
              <w:t>Issue</w:t>
            </w:r>
          </w:p>
        </w:tc>
        <w:tc>
          <w:tcPr>
            <w:tcW w:w="4319" w:type="dxa"/>
            <w:shd w:val="clear" w:color="auto" w:fill="25408F"/>
          </w:tcPr>
          <w:p w14:paraId="0410FB16" w14:textId="27CCAFEC" w:rsidR="001B094D" w:rsidRPr="00957BD4"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957BD4">
              <w:t>Summary</w:t>
            </w:r>
          </w:p>
        </w:tc>
        <w:tc>
          <w:tcPr>
            <w:tcW w:w="3724" w:type="dxa"/>
            <w:shd w:val="clear" w:color="auto" w:fill="25408F"/>
          </w:tcPr>
          <w:p w14:paraId="1A7D1CCA" w14:textId="7285ACC0" w:rsidR="001B094D" w:rsidRPr="00957BD4" w:rsidRDefault="001B094D" w:rsidP="001B094D">
            <w:pPr>
              <w:pStyle w:val="TT-TableHeading"/>
              <w:cnfStyle w:val="000000100000" w:firstRow="0" w:lastRow="0" w:firstColumn="0" w:lastColumn="0" w:oddVBand="0" w:evenVBand="0" w:oddHBand="1" w:evenHBand="0" w:firstRowFirstColumn="0" w:firstRowLastColumn="0" w:lastRowFirstColumn="0" w:lastRowLastColumn="0"/>
              <w:rPr>
                <w:u w:val="single"/>
              </w:rPr>
            </w:pPr>
            <w:r w:rsidRPr="00957BD4">
              <w:t>Working Group priority and why</w:t>
            </w:r>
          </w:p>
        </w:tc>
      </w:tr>
      <w:tr w:rsidR="009B1EAB" w14:paraId="6F89AD85" w14:textId="77777777" w:rsidTr="001B094D">
        <w:tc>
          <w:tcPr>
            <w:cnfStyle w:val="001000000000" w:firstRow="0" w:lastRow="0" w:firstColumn="1" w:lastColumn="0" w:oddVBand="0" w:evenVBand="0" w:oddHBand="0" w:evenHBand="0" w:firstRowFirstColumn="0" w:firstRowLastColumn="0" w:lastRowFirstColumn="0" w:lastRowLastColumn="0"/>
            <w:tcW w:w="2032" w:type="dxa"/>
            <w:shd w:val="clear" w:color="auto" w:fill="auto"/>
          </w:tcPr>
          <w:p w14:paraId="0859B74F" w14:textId="77777777" w:rsidR="009B1EAB" w:rsidRPr="002A5715" w:rsidRDefault="009B1EAB">
            <w:pPr>
              <w:rPr>
                <w:sz w:val="20"/>
                <w:szCs w:val="20"/>
              </w:rPr>
            </w:pPr>
            <w:r w:rsidRPr="002A5715">
              <w:rPr>
                <w:sz w:val="20"/>
                <w:szCs w:val="20"/>
              </w:rPr>
              <w:t>Issue 6: Cost-effectiveness calculated at the program level</w:t>
            </w:r>
          </w:p>
        </w:tc>
        <w:tc>
          <w:tcPr>
            <w:tcW w:w="4319" w:type="dxa"/>
            <w:shd w:val="clear" w:color="auto" w:fill="auto"/>
          </w:tcPr>
          <w:p w14:paraId="74DA0F4A"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rPr>
              <w:t>The cost-effectiveness standard is the Utility Cost Test (UCT), conducted at the program level.</w:t>
            </w:r>
          </w:p>
        </w:tc>
        <w:tc>
          <w:tcPr>
            <w:tcW w:w="3724" w:type="dxa"/>
            <w:shd w:val="clear" w:color="auto" w:fill="auto"/>
          </w:tcPr>
          <w:p w14:paraId="6C896F8F"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u w:val="single"/>
              </w:rPr>
            </w:pPr>
            <w:r w:rsidRPr="00957BD4">
              <w:rPr>
                <w:sz w:val="20"/>
                <w:szCs w:val="20"/>
                <w:u w:val="single"/>
              </w:rPr>
              <w:t xml:space="preserve">High Priority: </w:t>
            </w:r>
            <w:r w:rsidRPr="00957BD4">
              <w:rPr>
                <w:sz w:val="20"/>
                <w:szCs w:val="20"/>
              </w:rPr>
              <w:t>An EE program is deemed cost-effective if the program's cost to the utility is less than or equal to the program's benefits.</w:t>
            </w:r>
          </w:p>
        </w:tc>
      </w:tr>
      <w:tr w:rsidR="001B094D" w14:paraId="700E659A" w14:textId="77777777" w:rsidTr="001B09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shd w:val="clear" w:color="auto" w:fill="25408F"/>
          </w:tcPr>
          <w:p w14:paraId="20AA6C2E" w14:textId="7ABE9330" w:rsidR="001B094D" w:rsidRPr="002A5715" w:rsidRDefault="001B094D" w:rsidP="001B094D">
            <w:pPr>
              <w:pStyle w:val="TT-TableHeading"/>
            </w:pPr>
            <w:r w:rsidRPr="002A5715">
              <w:t>Issue</w:t>
            </w:r>
          </w:p>
        </w:tc>
        <w:tc>
          <w:tcPr>
            <w:tcW w:w="4319" w:type="dxa"/>
            <w:shd w:val="clear" w:color="auto" w:fill="25408F"/>
          </w:tcPr>
          <w:p w14:paraId="4504ED83" w14:textId="7C21915E" w:rsidR="001B094D" w:rsidRPr="00957BD4"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957BD4">
              <w:t>Summary</w:t>
            </w:r>
          </w:p>
        </w:tc>
        <w:tc>
          <w:tcPr>
            <w:tcW w:w="3724" w:type="dxa"/>
            <w:shd w:val="clear" w:color="auto" w:fill="25408F"/>
          </w:tcPr>
          <w:p w14:paraId="69189B65" w14:textId="2ED2C9F2" w:rsidR="001B094D" w:rsidRPr="00957BD4" w:rsidRDefault="001B094D" w:rsidP="001B094D">
            <w:pPr>
              <w:pStyle w:val="TT-TableHeading"/>
              <w:cnfStyle w:val="000000100000" w:firstRow="0" w:lastRow="0" w:firstColumn="0" w:lastColumn="0" w:oddVBand="0" w:evenVBand="0" w:oddHBand="1" w:evenHBand="0" w:firstRowFirstColumn="0" w:firstRowLastColumn="0" w:lastRowFirstColumn="0" w:lastRowLastColumn="0"/>
              <w:rPr>
                <w:u w:val="single"/>
              </w:rPr>
            </w:pPr>
            <w:r w:rsidRPr="00957BD4">
              <w:t>Working Group priority and why</w:t>
            </w:r>
          </w:p>
        </w:tc>
      </w:tr>
      <w:tr w:rsidR="009B1EAB" w14:paraId="25D7FFF5" w14:textId="77777777" w:rsidTr="001B094D">
        <w:tc>
          <w:tcPr>
            <w:cnfStyle w:val="001000000000" w:firstRow="0" w:lastRow="0" w:firstColumn="1" w:lastColumn="0" w:oddVBand="0" w:evenVBand="0" w:oddHBand="0" w:evenHBand="0" w:firstRowFirstColumn="0" w:firstRowLastColumn="0" w:lastRowFirstColumn="0" w:lastRowLastColumn="0"/>
            <w:tcW w:w="2032" w:type="dxa"/>
            <w:shd w:val="clear" w:color="auto" w:fill="DAEEF3" w:themeFill="accent5" w:themeFillTint="33"/>
          </w:tcPr>
          <w:p w14:paraId="0FD2A8CD" w14:textId="77777777" w:rsidR="009B1EAB" w:rsidRPr="002A5715" w:rsidRDefault="009B1EAB">
            <w:pPr>
              <w:rPr>
                <w:sz w:val="20"/>
                <w:szCs w:val="20"/>
              </w:rPr>
            </w:pPr>
            <w:r w:rsidRPr="002A5715">
              <w:rPr>
                <w:sz w:val="20"/>
                <w:szCs w:val="20"/>
              </w:rPr>
              <w:t>Issue 7: Calculation of program benefits</w:t>
            </w:r>
          </w:p>
        </w:tc>
        <w:tc>
          <w:tcPr>
            <w:tcW w:w="4319" w:type="dxa"/>
            <w:shd w:val="clear" w:color="auto" w:fill="DAEEF3" w:themeFill="accent5" w:themeFillTint="33"/>
          </w:tcPr>
          <w:p w14:paraId="1FA28017"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rPr>
              <w:t>The program's benefits consist of the value of the demand reductions and energy savings, measured in accordance with the prescribed avoided costs prescribed….</w:t>
            </w:r>
          </w:p>
        </w:tc>
        <w:tc>
          <w:tcPr>
            <w:tcW w:w="3724" w:type="dxa"/>
            <w:shd w:val="clear" w:color="auto" w:fill="DAEEF3" w:themeFill="accent5" w:themeFillTint="33"/>
          </w:tcPr>
          <w:p w14:paraId="3818AE00"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u w:val="single"/>
              </w:rPr>
              <w:t xml:space="preserve">High Priority: </w:t>
            </w:r>
            <w:r w:rsidRPr="00957BD4">
              <w:rPr>
                <w:sz w:val="20"/>
                <w:szCs w:val="20"/>
              </w:rPr>
              <w:t>The present value of the program benefits shall be calculated over the projected life of the measure installed or implemented under the program.</w:t>
            </w:r>
          </w:p>
        </w:tc>
      </w:tr>
    </w:tbl>
    <w:p w14:paraId="424406DD" w14:textId="4C77E17B" w:rsidR="009B1EAB" w:rsidRPr="00957BD4" w:rsidRDefault="009B1EAB" w:rsidP="001B094D">
      <w:pPr>
        <w:keepNext/>
        <w:keepLines/>
        <w:rPr>
          <w:b/>
          <w:bCs/>
        </w:rPr>
      </w:pPr>
      <w:r w:rsidRPr="00957BD4">
        <w:t xml:space="preserve">For each identified key issue above, the following table summarizes areas of agreement, multiple perspectives expressed, and changes that could be needed. </w:t>
      </w:r>
    </w:p>
    <w:tbl>
      <w:tblPr>
        <w:tblStyle w:val="GridTable4-Accent5"/>
        <w:tblW w:w="10255"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68"/>
        <w:gridCol w:w="2117"/>
        <w:gridCol w:w="3690"/>
        <w:gridCol w:w="1710"/>
        <w:gridCol w:w="1170"/>
      </w:tblGrid>
      <w:tr w:rsidR="001B094D" w14:paraId="661DB55E" w14:textId="77777777" w:rsidTr="001B094D">
        <w:trPr>
          <w:cnfStyle w:val="100000000000" w:firstRow="1" w:lastRow="0" w:firstColumn="0" w:lastColumn="0" w:oddVBand="0" w:evenVBand="0" w:oddHBand="0" w:evenHBand="0" w:firstRowFirstColumn="0" w:firstRowLastColumn="0" w:lastRowFirstColumn="0" w:lastRowLastColumn="0"/>
          <w:trHeight w:val="1325"/>
          <w:tblHeader/>
          <w:jc w:val="center"/>
        </w:trPr>
        <w:tc>
          <w:tcPr>
            <w:cnfStyle w:val="001000000000" w:firstRow="0" w:lastRow="0" w:firstColumn="1" w:lastColumn="0" w:oddVBand="0" w:evenVBand="0" w:oddHBand="0" w:evenHBand="0" w:firstRowFirstColumn="0" w:firstRowLastColumn="0" w:lastRowFirstColumn="0" w:lastRowLastColumn="0"/>
            <w:tcW w:w="1568" w:type="dxa"/>
            <w:shd w:val="clear" w:color="auto" w:fill="25408F"/>
            <w:vAlign w:val="bottom"/>
          </w:tcPr>
          <w:p w14:paraId="46C817D0" w14:textId="77777777" w:rsidR="009B1EAB" w:rsidRPr="00171D3D" w:rsidRDefault="009B1EAB" w:rsidP="001B094D">
            <w:pPr>
              <w:pStyle w:val="TT-TableHeading"/>
            </w:pPr>
            <w:r w:rsidRPr="00171D3D">
              <w:t>Key Issue</w:t>
            </w:r>
          </w:p>
        </w:tc>
        <w:tc>
          <w:tcPr>
            <w:tcW w:w="2117" w:type="dxa"/>
            <w:shd w:val="clear" w:color="auto" w:fill="25408F"/>
            <w:vAlign w:val="bottom"/>
          </w:tcPr>
          <w:p w14:paraId="05466401" w14:textId="77777777" w:rsidR="009B1EAB" w:rsidRPr="00957BD4" w:rsidRDefault="009B1EAB" w:rsidP="001B094D">
            <w:pPr>
              <w:pStyle w:val="TT-TableHeading"/>
              <w:cnfStyle w:val="100000000000" w:firstRow="1" w:lastRow="0" w:firstColumn="0" w:lastColumn="0" w:oddVBand="0" w:evenVBand="0" w:oddHBand="0" w:evenHBand="0" w:firstRowFirstColumn="0" w:firstRowLastColumn="0" w:lastRowFirstColumn="0" w:lastRowLastColumn="0"/>
              <w:rPr>
                <w:b w:val="0"/>
                <w:bCs/>
              </w:rPr>
            </w:pPr>
            <w:r w:rsidRPr="00957BD4">
              <w:rPr>
                <w:b w:val="0"/>
              </w:rPr>
              <w:t>Areas of Agreement</w:t>
            </w:r>
          </w:p>
        </w:tc>
        <w:tc>
          <w:tcPr>
            <w:tcW w:w="3690" w:type="dxa"/>
            <w:shd w:val="clear" w:color="auto" w:fill="25408F"/>
            <w:vAlign w:val="bottom"/>
          </w:tcPr>
          <w:p w14:paraId="78771AE1" w14:textId="77777777" w:rsidR="009B1EAB" w:rsidRPr="00957BD4" w:rsidRDefault="009B1EAB" w:rsidP="001B094D">
            <w:pPr>
              <w:pStyle w:val="TT-TableHeading"/>
              <w:cnfStyle w:val="100000000000" w:firstRow="1" w:lastRow="0" w:firstColumn="0" w:lastColumn="0" w:oddVBand="0" w:evenVBand="0" w:oddHBand="0" w:evenHBand="0" w:firstRowFirstColumn="0" w:firstRowLastColumn="0" w:lastRowFirstColumn="0" w:lastRowLastColumn="0"/>
              <w:rPr>
                <w:b w:val="0"/>
                <w:bCs/>
              </w:rPr>
            </w:pPr>
            <w:r w:rsidRPr="00957BD4">
              <w:rPr>
                <w:b w:val="0"/>
              </w:rPr>
              <w:t>Areas of Debate</w:t>
            </w:r>
          </w:p>
        </w:tc>
        <w:tc>
          <w:tcPr>
            <w:tcW w:w="1710" w:type="dxa"/>
            <w:shd w:val="clear" w:color="auto" w:fill="25408F"/>
            <w:vAlign w:val="bottom"/>
          </w:tcPr>
          <w:p w14:paraId="0C4F2380" w14:textId="77777777" w:rsidR="009B1EAB" w:rsidRPr="00957BD4" w:rsidRDefault="009B1EAB" w:rsidP="001B094D">
            <w:pPr>
              <w:pStyle w:val="TT-TableHeading"/>
              <w:cnfStyle w:val="100000000000" w:firstRow="1" w:lastRow="0" w:firstColumn="0" w:lastColumn="0" w:oddVBand="0" w:evenVBand="0" w:oddHBand="0" w:evenHBand="0" w:firstRowFirstColumn="0" w:firstRowLastColumn="0" w:lastRowFirstColumn="0" w:lastRowLastColumn="0"/>
              <w:rPr>
                <w:b w:val="0"/>
                <w:bCs/>
              </w:rPr>
            </w:pPr>
            <w:r w:rsidRPr="00957BD4">
              <w:rPr>
                <w:b w:val="0"/>
              </w:rPr>
              <w:t xml:space="preserve">Would this require Legislation or Rulemaking? If so, what? </w:t>
            </w:r>
          </w:p>
        </w:tc>
        <w:tc>
          <w:tcPr>
            <w:tcW w:w="1170" w:type="dxa"/>
            <w:shd w:val="clear" w:color="auto" w:fill="25408F"/>
            <w:vAlign w:val="bottom"/>
          </w:tcPr>
          <w:p w14:paraId="53119F6B" w14:textId="77777777" w:rsidR="009B1EAB" w:rsidRPr="00171D3D" w:rsidRDefault="009B1EAB" w:rsidP="001B094D">
            <w:pPr>
              <w:pStyle w:val="TT-TableHeading"/>
              <w:cnfStyle w:val="100000000000" w:firstRow="1" w:lastRow="0" w:firstColumn="0" w:lastColumn="0" w:oddVBand="0" w:evenVBand="0" w:oddHBand="0" w:evenHBand="0" w:firstRowFirstColumn="0" w:firstRowLastColumn="0" w:lastRowFirstColumn="0" w:lastRowLastColumn="0"/>
              <w:rPr>
                <w:b w:val="0"/>
                <w:bCs/>
              </w:rPr>
            </w:pPr>
            <w:r w:rsidRPr="00171D3D">
              <w:rPr>
                <w:b w:val="0"/>
              </w:rPr>
              <w:t>Could another process address?</w:t>
            </w:r>
          </w:p>
        </w:tc>
      </w:tr>
      <w:tr w:rsidR="009B1EAB" w14:paraId="182F18E8" w14:textId="77777777" w:rsidTr="001B094D">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568" w:type="dxa"/>
          </w:tcPr>
          <w:p w14:paraId="1CC3CDC3" w14:textId="77777777" w:rsidR="009B1EAB" w:rsidRPr="00171D3D" w:rsidRDefault="009B1EAB" w:rsidP="001B094D">
            <w:pPr>
              <w:keepNext/>
              <w:keepLines/>
              <w:rPr>
                <w:sz w:val="20"/>
                <w:szCs w:val="20"/>
              </w:rPr>
            </w:pPr>
            <w:r w:rsidRPr="00171D3D">
              <w:rPr>
                <w:sz w:val="20"/>
                <w:szCs w:val="20"/>
              </w:rPr>
              <w:t xml:space="preserve">Issue 1: Method of Avoided Costs Calculation Capacity </w:t>
            </w:r>
          </w:p>
        </w:tc>
        <w:tc>
          <w:tcPr>
            <w:tcW w:w="2117" w:type="dxa"/>
          </w:tcPr>
          <w:p w14:paraId="1EB979EC" w14:textId="77777777" w:rsidR="009B1EAB" w:rsidRPr="00957BD4" w:rsidRDefault="009B1EAB"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rPr>
              <w:t>Stakeholders voiced agreement that more discussion around the 2% escalation rate is needed.</w:t>
            </w:r>
          </w:p>
        </w:tc>
        <w:tc>
          <w:tcPr>
            <w:tcW w:w="3690" w:type="dxa"/>
          </w:tcPr>
          <w:p w14:paraId="4C872288" w14:textId="77777777" w:rsidR="009B1EAB" w:rsidRPr="00957BD4" w:rsidRDefault="009B1EAB"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u w:val="single"/>
              </w:rPr>
              <w:t xml:space="preserve">Perspective 1: </w:t>
            </w:r>
            <w:r w:rsidRPr="00957BD4">
              <w:rPr>
                <w:sz w:val="20"/>
                <w:szCs w:val="20"/>
              </w:rPr>
              <w:t xml:space="preserve"> Providing enough incentive for measures like HVAC and Heat Pumps in residential programs is tough, especially with HTR and/or Low-Income customers with the "incentives for customer classes can't be over 100% of the avoided costs."</w:t>
            </w:r>
          </w:p>
          <w:p w14:paraId="1FB0A5F2" w14:textId="77777777" w:rsidR="009B1EAB" w:rsidRPr="00957BD4" w:rsidRDefault="009B1EAB"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u w:val="single"/>
              </w:rPr>
              <w:t>Perspective 2:</w:t>
            </w:r>
            <w:r w:rsidRPr="00957BD4">
              <w:rPr>
                <w:sz w:val="20"/>
                <w:szCs w:val="20"/>
              </w:rPr>
              <w:t xml:space="preserve"> For rural areas, some utilities face issues raising incentive levels to attract contractors to work in those areas, especially with changes in the TRM and inflation.</w:t>
            </w:r>
          </w:p>
          <w:p w14:paraId="5C0C8E1B" w14:textId="3B7EF0EF" w:rsidR="009B1EAB" w:rsidRPr="00957BD4" w:rsidRDefault="009B1EAB"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u w:val="single"/>
              </w:rPr>
              <w:t>Perspective 3:</w:t>
            </w:r>
            <w:r w:rsidRPr="00957BD4">
              <w:rPr>
                <w:sz w:val="20"/>
                <w:szCs w:val="20"/>
              </w:rPr>
              <w:t xml:space="preserve"> The current calculation has an escalator of 2%. For measures with long EULs, we're applying a discount rate of 8%, but we're escalating the value over time by only 2%. </w:t>
            </w:r>
          </w:p>
        </w:tc>
        <w:tc>
          <w:tcPr>
            <w:tcW w:w="1710" w:type="dxa"/>
          </w:tcPr>
          <w:p w14:paraId="68B48623" w14:textId="305DFACA" w:rsidR="009B1EAB" w:rsidRPr="00957BD4" w:rsidRDefault="004A570A"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9B1EAB" w:rsidRPr="00957BD4">
              <w:rPr>
                <w:sz w:val="20"/>
                <w:szCs w:val="20"/>
              </w:rPr>
              <w:t>(d)(2)Cost Effectiveness Standard</w:t>
            </w:r>
          </w:p>
        </w:tc>
        <w:tc>
          <w:tcPr>
            <w:tcW w:w="1170" w:type="dxa"/>
          </w:tcPr>
          <w:p w14:paraId="708ACEDE" w14:textId="77777777" w:rsidR="009B1EAB" w:rsidRDefault="009B1EAB" w:rsidP="001B094D">
            <w:pPr>
              <w:keepNext/>
              <w:keepLines/>
              <w:cnfStyle w:val="000000100000" w:firstRow="0" w:lastRow="0" w:firstColumn="0" w:lastColumn="0" w:oddVBand="0" w:evenVBand="0" w:oddHBand="1" w:evenHBand="0" w:firstRowFirstColumn="0" w:firstRowLastColumn="0" w:lastRowFirstColumn="0" w:lastRowLastColumn="0"/>
            </w:pPr>
          </w:p>
        </w:tc>
      </w:tr>
      <w:tr w:rsidR="001B094D" w14:paraId="5B69E39A" w14:textId="77777777" w:rsidTr="001B094D">
        <w:trPr>
          <w:trHeight w:val="253"/>
          <w:jc w:val="center"/>
        </w:trPr>
        <w:tc>
          <w:tcPr>
            <w:cnfStyle w:val="001000000000" w:firstRow="0" w:lastRow="0" w:firstColumn="1" w:lastColumn="0" w:oddVBand="0" w:evenVBand="0" w:oddHBand="0" w:evenHBand="0" w:firstRowFirstColumn="0" w:firstRowLastColumn="0" w:lastRowFirstColumn="0" w:lastRowLastColumn="0"/>
            <w:tcW w:w="1568" w:type="dxa"/>
            <w:shd w:val="clear" w:color="auto" w:fill="25408F"/>
            <w:vAlign w:val="bottom"/>
          </w:tcPr>
          <w:p w14:paraId="4EB07DB4" w14:textId="45954443" w:rsidR="001B094D" w:rsidRPr="00171D3D" w:rsidRDefault="001B094D" w:rsidP="001B094D">
            <w:pPr>
              <w:pStyle w:val="TT-TableHeading"/>
            </w:pPr>
            <w:r w:rsidRPr="00171D3D">
              <w:t>Key Issue</w:t>
            </w:r>
          </w:p>
        </w:tc>
        <w:tc>
          <w:tcPr>
            <w:tcW w:w="2117" w:type="dxa"/>
            <w:shd w:val="clear" w:color="auto" w:fill="25408F"/>
            <w:vAlign w:val="bottom"/>
          </w:tcPr>
          <w:p w14:paraId="63D350AF" w14:textId="0A689EED" w:rsidR="001B094D" w:rsidRPr="00957BD4"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957BD4">
              <w:t>Areas of Agreement</w:t>
            </w:r>
          </w:p>
        </w:tc>
        <w:tc>
          <w:tcPr>
            <w:tcW w:w="3690" w:type="dxa"/>
            <w:shd w:val="clear" w:color="auto" w:fill="25408F"/>
            <w:vAlign w:val="bottom"/>
          </w:tcPr>
          <w:p w14:paraId="3CCB31CD" w14:textId="6AA5A2BE" w:rsidR="001B094D" w:rsidRPr="00957BD4" w:rsidRDefault="001B094D" w:rsidP="001B094D">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957BD4">
              <w:t>Areas of Debate</w:t>
            </w:r>
          </w:p>
        </w:tc>
        <w:tc>
          <w:tcPr>
            <w:tcW w:w="1710" w:type="dxa"/>
            <w:shd w:val="clear" w:color="auto" w:fill="25408F"/>
            <w:vAlign w:val="bottom"/>
          </w:tcPr>
          <w:p w14:paraId="5A425259" w14:textId="6F613926" w:rsidR="001B094D"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957BD4">
              <w:t xml:space="preserve">Would this require Legislation or Rulemaking? If so, what? </w:t>
            </w:r>
          </w:p>
        </w:tc>
        <w:tc>
          <w:tcPr>
            <w:tcW w:w="1170" w:type="dxa"/>
            <w:shd w:val="clear" w:color="auto" w:fill="25408F"/>
            <w:vAlign w:val="bottom"/>
          </w:tcPr>
          <w:p w14:paraId="3D5E081C" w14:textId="7FDA56BE" w:rsidR="001B094D"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171D3D">
              <w:t>Could another process address?</w:t>
            </w:r>
          </w:p>
        </w:tc>
      </w:tr>
      <w:tr w:rsidR="009B1EAB" w14:paraId="6E86FEA4" w14:textId="77777777" w:rsidTr="001B094D">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568" w:type="dxa"/>
            <w:shd w:val="clear" w:color="auto" w:fill="auto"/>
          </w:tcPr>
          <w:p w14:paraId="61DB324E" w14:textId="77777777" w:rsidR="009B1EAB" w:rsidRPr="00171D3D" w:rsidRDefault="009B1EAB">
            <w:pPr>
              <w:rPr>
                <w:sz w:val="20"/>
                <w:szCs w:val="20"/>
              </w:rPr>
            </w:pPr>
            <w:r w:rsidRPr="00171D3D">
              <w:rPr>
                <w:sz w:val="20"/>
                <w:szCs w:val="20"/>
              </w:rPr>
              <w:t>Issue 2: Method of Avoided Costs Calculation Energy</w:t>
            </w:r>
          </w:p>
        </w:tc>
        <w:tc>
          <w:tcPr>
            <w:tcW w:w="2117" w:type="dxa"/>
            <w:shd w:val="clear" w:color="auto" w:fill="auto"/>
          </w:tcPr>
          <w:p w14:paraId="3125B2C1" w14:textId="77777777" w:rsidR="009B1EAB" w:rsidRPr="00957BD4" w:rsidRDefault="009B1EAB">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rPr>
              <w:t>Stakeholders agree that the swing in avoided costs of energy can cause vastly different estimates of the value of 1 measure in a program year to year.</w:t>
            </w:r>
          </w:p>
        </w:tc>
        <w:tc>
          <w:tcPr>
            <w:tcW w:w="3690" w:type="dxa"/>
            <w:shd w:val="clear" w:color="auto" w:fill="auto"/>
          </w:tcPr>
          <w:p w14:paraId="0E47567B" w14:textId="77777777" w:rsidR="009B1EAB" w:rsidRPr="00957BD4" w:rsidRDefault="009B1EAB">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u w:val="single"/>
              </w:rPr>
              <w:t>Perspective 1:</w:t>
            </w:r>
            <w:r w:rsidRPr="00957BD4">
              <w:rPr>
                <w:sz w:val="20"/>
                <w:szCs w:val="20"/>
              </w:rPr>
              <w:t xml:space="preserve"> The swing in avoided costs in energy is disruptive to consistent programs year over year. Whatever the avoided cost of energy is at the time the measure is installed persists through the estimated useful life of the measure.  </w:t>
            </w:r>
          </w:p>
          <w:p w14:paraId="1F19F4A1" w14:textId="77777777" w:rsidR="009B1EAB" w:rsidRPr="00957BD4" w:rsidRDefault="009B1EAB">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u w:val="single"/>
              </w:rPr>
              <w:t xml:space="preserve">Perspective 2: </w:t>
            </w:r>
            <w:r w:rsidRPr="00957BD4">
              <w:rPr>
                <w:sz w:val="20"/>
                <w:szCs w:val="20"/>
              </w:rPr>
              <w:t xml:space="preserve">Ensuring contractors obtain consistency from year to year will encourage them to stay in the programs. We need to focus on their business needs too. </w:t>
            </w:r>
          </w:p>
          <w:p w14:paraId="1193D772" w14:textId="77777777" w:rsidR="009B1EAB" w:rsidRPr="00957BD4" w:rsidRDefault="009B1EAB">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u w:val="single"/>
              </w:rPr>
              <w:t>Perspective 3:</w:t>
            </w:r>
            <w:r w:rsidRPr="00957BD4">
              <w:rPr>
                <w:sz w:val="20"/>
                <w:szCs w:val="20"/>
              </w:rPr>
              <w:t xml:space="preserve"> Avoided costs calculations should be forward-looking to reflect our best estimate of the avoided value of saved energy and capacity over the lifetime of the measure.</w:t>
            </w:r>
          </w:p>
        </w:tc>
        <w:tc>
          <w:tcPr>
            <w:tcW w:w="1710" w:type="dxa"/>
            <w:shd w:val="clear" w:color="auto" w:fill="auto"/>
          </w:tcPr>
          <w:p w14:paraId="6FBCEDB4" w14:textId="0FEDC9A8" w:rsidR="009B1EAB" w:rsidRPr="00957BD4" w:rsidRDefault="004A570A">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9B1EAB" w:rsidRPr="00957BD4">
              <w:rPr>
                <w:sz w:val="20"/>
                <w:szCs w:val="20"/>
              </w:rPr>
              <w:t>(d)(3) Cost Effectiveness Standard</w:t>
            </w:r>
          </w:p>
        </w:tc>
        <w:tc>
          <w:tcPr>
            <w:tcW w:w="1170" w:type="dxa"/>
            <w:shd w:val="clear" w:color="auto" w:fill="auto"/>
          </w:tcPr>
          <w:p w14:paraId="3DF8028F" w14:textId="77777777" w:rsidR="009B1EAB" w:rsidRDefault="009B1EAB">
            <w:pPr>
              <w:cnfStyle w:val="000000100000" w:firstRow="0" w:lastRow="0" w:firstColumn="0" w:lastColumn="0" w:oddVBand="0" w:evenVBand="0" w:oddHBand="1" w:evenHBand="0" w:firstRowFirstColumn="0" w:firstRowLastColumn="0" w:lastRowFirstColumn="0" w:lastRowLastColumn="0"/>
            </w:pPr>
          </w:p>
        </w:tc>
      </w:tr>
      <w:tr w:rsidR="001B094D" w14:paraId="514B880B" w14:textId="77777777" w:rsidTr="001B094D">
        <w:trPr>
          <w:trHeight w:val="253"/>
          <w:jc w:val="center"/>
        </w:trPr>
        <w:tc>
          <w:tcPr>
            <w:cnfStyle w:val="001000000000" w:firstRow="0" w:lastRow="0" w:firstColumn="1" w:lastColumn="0" w:oddVBand="0" w:evenVBand="0" w:oddHBand="0" w:evenHBand="0" w:firstRowFirstColumn="0" w:firstRowLastColumn="0" w:lastRowFirstColumn="0" w:lastRowLastColumn="0"/>
            <w:tcW w:w="1568" w:type="dxa"/>
            <w:shd w:val="clear" w:color="auto" w:fill="DAEEF3" w:themeFill="accent5" w:themeFillTint="33"/>
          </w:tcPr>
          <w:p w14:paraId="4BE3B97C" w14:textId="77777777" w:rsidR="009B1EAB" w:rsidRPr="00171D3D" w:rsidRDefault="009B1EAB" w:rsidP="001B094D">
            <w:pPr>
              <w:keepNext/>
              <w:keepLines/>
              <w:rPr>
                <w:sz w:val="20"/>
                <w:szCs w:val="20"/>
              </w:rPr>
            </w:pPr>
            <w:r w:rsidRPr="00171D3D">
              <w:rPr>
                <w:sz w:val="20"/>
                <w:szCs w:val="20"/>
              </w:rPr>
              <w:t>Issue 3: Methodology of calculation Avoided Retail Energy (kWh) value used in SIR</w:t>
            </w:r>
          </w:p>
        </w:tc>
        <w:tc>
          <w:tcPr>
            <w:tcW w:w="2117" w:type="dxa"/>
            <w:shd w:val="clear" w:color="auto" w:fill="DAEEF3" w:themeFill="accent5" w:themeFillTint="33"/>
          </w:tcPr>
          <w:p w14:paraId="7A4FB710" w14:textId="77777777" w:rsidR="009B1EAB" w:rsidRPr="00957BD4" w:rsidRDefault="009B1EAB"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rPr>
              <w:t xml:space="preserve">Stakeholders agree that the SIR method is intended to represent the customer's perspective and is quantifies cost-effectiveness /eligibility at the measure level. </w:t>
            </w:r>
          </w:p>
        </w:tc>
        <w:tc>
          <w:tcPr>
            <w:tcW w:w="3690" w:type="dxa"/>
            <w:shd w:val="clear" w:color="auto" w:fill="DAEEF3" w:themeFill="accent5" w:themeFillTint="33"/>
          </w:tcPr>
          <w:p w14:paraId="5F2EEC07" w14:textId="77777777" w:rsidR="009B1EAB" w:rsidRPr="00957BD4" w:rsidRDefault="009B1EAB"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u w:val="single"/>
              </w:rPr>
              <w:t>Perspective 1:</w:t>
            </w:r>
            <w:r w:rsidRPr="00957BD4">
              <w:rPr>
                <w:sz w:val="20"/>
                <w:szCs w:val="20"/>
              </w:rPr>
              <w:t xml:space="preserve"> Having a shared avoided retail energy value would provide value to eliminate confusion with claimed savings vs. evaluated savings.</w:t>
            </w:r>
          </w:p>
          <w:p w14:paraId="398DA244" w14:textId="6002E8A0" w:rsidR="009B1EAB" w:rsidRPr="00957BD4" w:rsidRDefault="009B1EAB"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u w:val="single"/>
              </w:rPr>
              <w:t xml:space="preserve">Perspective 2: </w:t>
            </w:r>
            <w:r w:rsidRPr="00957BD4">
              <w:rPr>
                <w:sz w:val="20"/>
                <w:szCs w:val="20"/>
              </w:rPr>
              <w:t>For Low Income, specific measures may not need to be cost-effective, or the calculation includes additional benefits not incorporated into other programs.</w:t>
            </w:r>
          </w:p>
        </w:tc>
        <w:tc>
          <w:tcPr>
            <w:tcW w:w="1710" w:type="dxa"/>
            <w:shd w:val="clear" w:color="auto" w:fill="DAEEF3" w:themeFill="accent5" w:themeFillTint="33"/>
          </w:tcPr>
          <w:p w14:paraId="0996EAB1" w14:textId="206AD92C" w:rsidR="009B1EAB" w:rsidRPr="00957BD4" w:rsidRDefault="004A570A"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9B1EAB" w:rsidRPr="00957BD4">
              <w:rPr>
                <w:sz w:val="20"/>
                <w:szCs w:val="20"/>
              </w:rPr>
              <w:t>(c)(50) Definition of SIR &amp; (p)(2) Used in Low Income Programs.</w:t>
            </w:r>
          </w:p>
        </w:tc>
        <w:tc>
          <w:tcPr>
            <w:tcW w:w="1170" w:type="dxa"/>
            <w:shd w:val="clear" w:color="auto" w:fill="DAEEF3" w:themeFill="accent5" w:themeFillTint="33"/>
          </w:tcPr>
          <w:p w14:paraId="7DB62F8F" w14:textId="77777777" w:rsidR="009B1EAB" w:rsidRDefault="009B1EAB" w:rsidP="001B094D">
            <w:pPr>
              <w:keepNext/>
              <w:keepLines/>
              <w:cnfStyle w:val="000000000000" w:firstRow="0" w:lastRow="0" w:firstColumn="0" w:lastColumn="0" w:oddVBand="0" w:evenVBand="0" w:oddHBand="0" w:evenHBand="0" w:firstRowFirstColumn="0" w:firstRowLastColumn="0" w:lastRowFirstColumn="0" w:lastRowLastColumn="0"/>
            </w:pPr>
          </w:p>
        </w:tc>
      </w:tr>
      <w:tr w:rsidR="001B094D" w14:paraId="41A1EDC7" w14:textId="77777777" w:rsidTr="001B094D">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568" w:type="dxa"/>
            <w:shd w:val="clear" w:color="auto" w:fill="25408F"/>
            <w:vAlign w:val="bottom"/>
          </w:tcPr>
          <w:p w14:paraId="366247CD" w14:textId="1252E563" w:rsidR="001B094D" w:rsidRPr="00171D3D" w:rsidRDefault="001B094D" w:rsidP="001B094D">
            <w:pPr>
              <w:pStyle w:val="TT-TableHeading"/>
            </w:pPr>
            <w:r w:rsidRPr="00171D3D">
              <w:t>Key Issue</w:t>
            </w:r>
          </w:p>
        </w:tc>
        <w:tc>
          <w:tcPr>
            <w:tcW w:w="2117" w:type="dxa"/>
            <w:shd w:val="clear" w:color="auto" w:fill="25408F"/>
            <w:vAlign w:val="bottom"/>
          </w:tcPr>
          <w:p w14:paraId="736953F1" w14:textId="1136D3FF" w:rsidR="001B094D" w:rsidRPr="00957BD4"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957BD4">
              <w:t>Areas of Agreement</w:t>
            </w:r>
          </w:p>
        </w:tc>
        <w:tc>
          <w:tcPr>
            <w:tcW w:w="3690" w:type="dxa"/>
            <w:shd w:val="clear" w:color="auto" w:fill="25408F"/>
            <w:vAlign w:val="bottom"/>
          </w:tcPr>
          <w:p w14:paraId="2AC647E7" w14:textId="7F6F869E" w:rsidR="001B094D" w:rsidRPr="00957BD4" w:rsidRDefault="001B094D" w:rsidP="001B094D">
            <w:pPr>
              <w:pStyle w:val="TT-TableHeading"/>
              <w:cnfStyle w:val="000000100000" w:firstRow="0" w:lastRow="0" w:firstColumn="0" w:lastColumn="0" w:oddVBand="0" w:evenVBand="0" w:oddHBand="1" w:evenHBand="0" w:firstRowFirstColumn="0" w:firstRowLastColumn="0" w:lastRowFirstColumn="0" w:lastRowLastColumn="0"/>
              <w:rPr>
                <w:u w:val="single"/>
              </w:rPr>
            </w:pPr>
            <w:r w:rsidRPr="00957BD4">
              <w:t>Areas of Debate</w:t>
            </w:r>
          </w:p>
        </w:tc>
        <w:tc>
          <w:tcPr>
            <w:tcW w:w="1710" w:type="dxa"/>
            <w:shd w:val="clear" w:color="auto" w:fill="25408F"/>
            <w:vAlign w:val="bottom"/>
          </w:tcPr>
          <w:p w14:paraId="13C12C6E" w14:textId="748C694F" w:rsidR="001B094D"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957BD4">
              <w:t xml:space="preserve">Would this require Legislation or Rulemaking? If so, what? </w:t>
            </w:r>
          </w:p>
        </w:tc>
        <w:tc>
          <w:tcPr>
            <w:tcW w:w="1170" w:type="dxa"/>
            <w:shd w:val="clear" w:color="auto" w:fill="25408F"/>
            <w:vAlign w:val="bottom"/>
          </w:tcPr>
          <w:p w14:paraId="74D244AF" w14:textId="49B0FD1A" w:rsidR="001B094D"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171D3D">
              <w:t>Could another process address?</w:t>
            </w:r>
          </w:p>
        </w:tc>
      </w:tr>
      <w:tr w:rsidR="009B1EAB" w14:paraId="6F812846" w14:textId="77777777" w:rsidTr="001B094D">
        <w:trPr>
          <w:trHeight w:val="253"/>
          <w:jc w:val="center"/>
        </w:trPr>
        <w:tc>
          <w:tcPr>
            <w:cnfStyle w:val="001000000000" w:firstRow="0" w:lastRow="0" w:firstColumn="1" w:lastColumn="0" w:oddVBand="0" w:evenVBand="0" w:oddHBand="0" w:evenHBand="0" w:firstRowFirstColumn="0" w:firstRowLastColumn="0" w:lastRowFirstColumn="0" w:lastRowLastColumn="0"/>
            <w:tcW w:w="1568" w:type="dxa"/>
            <w:shd w:val="clear" w:color="auto" w:fill="auto"/>
          </w:tcPr>
          <w:p w14:paraId="59AEFB04" w14:textId="77777777" w:rsidR="009B1EAB" w:rsidRPr="00171D3D" w:rsidRDefault="009B1EAB">
            <w:pPr>
              <w:rPr>
                <w:sz w:val="20"/>
                <w:szCs w:val="20"/>
              </w:rPr>
            </w:pPr>
            <w:r w:rsidRPr="00171D3D">
              <w:rPr>
                <w:sz w:val="20"/>
                <w:szCs w:val="20"/>
              </w:rPr>
              <w:t>Issue 4: Timeline of Avoided Cost Calculation Energy &amp; Capacity</w:t>
            </w:r>
          </w:p>
        </w:tc>
        <w:tc>
          <w:tcPr>
            <w:tcW w:w="2117" w:type="dxa"/>
            <w:shd w:val="clear" w:color="auto" w:fill="auto"/>
          </w:tcPr>
          <w:p w14:paraId="28E0AD4F"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rPr>
              <w:t>Not discussed in Workshop 2.</w:t>
            </w:r>
          </w:p>
        </w:tc>
        <w:tc>
          <w:tcPr>
            <w:tcW w:w="3690" w:type="dxa"/>
            <w:shd w:val="clear" w:color="auto" w:fill="auto"/>
          </w:tcPr>
          <w:p w14:paraId="4E6575E8"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171D3D">
              <w:rPr>
                <w:sz w:val="20"/>
                <w:szCs w:val="20"/>
                <w:u w:val="single"/>
              </w:rPr>
              <w:t>Perspective 1:</w:t>
            </w:r>
            <w:r w:rsidRPr="00957BD4">
              <w:rPr>
                <w:sz w:val="20"/>
                <w:szCs w:val="20"/>
              </w:rPr>
              <w:t xml:space="preserve"> Workshop 1 -The timing of November published avoided costs does not align with the April 1</w:t>
            </w:r>
            <w:r w:rsidRPr="00957BD4">
              <w:rPr>
                <w:sz w:val="20"/>
                <w:szCs w:val="20"/>
                <w:vertAlign w:val="superscript"/>
              </w:rPr>
              <w:t>st</w:t>
            </w:r>
            <w:r w:rsidRPr="00957BD4">
              <w:rPr>
                <w:sz w:val="20"/>
                <w:szCs w:val="20"/>
              </w:rPr>
              <w:t xml:space="preserve"> EPPR filings. In other words, programs are filed before updated avoided costs. This can cause conflict with program filings and cost-effectiveness calculations.</w:t>
            </w:r>
          </w:p>
        </w:tc>
        <w:tc>
          <w:tcPr>
            <w:tcW w:w="1710" w:type="dxa"/>
            <w:shd w:val="clear" w:color="auto" w:fill="auto"/>
          </w:tcPr>
          <w:p w14:paraId="256926B1" w14:textId="6AA31FC8" w:rsidR="009B1EAB" w:rsidRPr="00957BD4" w:rsidRDefault="004A570A">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9B1EAB" w:rsidRPr="00957BD4">
              <w:rPr>
                <w:sz w:val="20"/>
                <w:szCs w:val="20"/>
              </w:rPr>
              <w:t>(d) Cost Effectiveness Standard (2) &amp; (3) Timing of Avoided Cost Capacity and Energy.</w:t>
            </w:r>
          </w:p>
          <w:p w14:paraId="2640A62C" w14:textId="21FEB9C5" w:rsidR="009B1EAB" w:rsidRPr="00957BD4" w:rsidRDefault="004A570A">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9B1EAB" w:rsidRPr="00957BD4">
              <w:rPr>
                <w:sz w:val="20"/>
                <w:szCs w:val="20"/>
              </w:rPr>
              <w:t xml:space="preserve">(l) EE plans and reports (EEPR) </w:t>
            </w:r>
          </w:p>
        </w:tc>
        <w:tc>
          <w:tcPr>
            <w:tcW w:w="1170" w:type="dxa"/>
            <w:shd w:val="clear" w:color="auto" w:fill="auto"/>
          </w:tcPr>
          <w:p w14:paraId="1933B3B0" w14:textId="77777777" w:rsidR="009B1EAB" w:rsidRDefault="009B1EAB">
            <w:pPr>
              <w:cnfStyle w:val="000000000000" w:firstRow="0" w:lastRow="0" w:firstColumn="0" w:lastColumn="0" w:oddVBand="0" w:evenVBand="0" w:oddHBand="0" w:evenHBand="0" w:firstRowFirstColumn="0" w:firstRowLastColumn="0" w:lastRowFirstColumn="0" w:lastRowLastColumn="0"/>
            </w:pPr>
          </w:p>
        </w:tc>
      </w:tr>
      <w:tr w:rsidR="001B094D" w14:paraId="37F42ECF" w14:textId="77777777" w:rsidTr="001B094D">
        <w:trPr>
          <w:cnfStyle w:val="000000100000" w:firstRow="0" w:lastRow="0" w:firstColumn="0" w:lastColumn="0" w:oddVBand="0" w:evenVBand="0" w:oddHBand="1"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568" w:type="dxa"/>
            <w:shd w:val="clear" w:color="auto" w:fill="25408F"/>
            <w:vAlign w:val="bottom"/>
          </w:tcPr>
          <w:p w14:paraId="3ECCDDD8" w14:textId="3F7938DA" w:rsidR="001B094D" w:rsidRPr="00171D3D" w:rsidRDefault="001B094D" w:rsidP="001B094D">
            <w:pPr>
              <w:pStyle w:val="TT-TableHeading"/>
            </w:pPr>
            <w:r w:rsidRPr="00171D3D">
              <w:t>Key Issue</w:t>
            </w:r>
          </w:p>
        </w:tc>
        <w:tc>
          <w:tcPr>
            <w:tcW w:w="2117" w:type="dxa"/>
            <w:shd w:val="clear" w:color="auto" w:fill="25408F"/>
            <w:vAlign w:val="bottom"/>
          </w:tcPr>
          <w:p w14:paraId="54677817" w14:textId="2886E5A7" w:rsidR="001B094D" w:rsidRPr="00957BD4"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957BD4">
              <w:t>Areas of Agreement</w:t>
            </w:r>
          </w:p>
        </w:tc>
        <w:tc>
          <w:tcPr>
            <w:tcW w:w="3690" w:type="dxa"/>
            <w:shd w:val="clear" w:color="auto" w:fill="25408F"/>
            <w:vAlign w:val="bottom"/>
          </w:tcPr>
          <w:p w14:paraId="2076F548" w14:textId="5A250511" w:rsidR="001B094D" w:rsidRPr="00171D3D" w:rsidRDefault="001B094D" w:rsidP="001B094D">
            <w:pPr>
              <w:pStyle w:val="TT-TableHeading"/>
              <w:cnfStyle w:val="000000100000" w:firstRow="0" w:lastRow="0" w:firstColumn="0" w:lastColumn="0" w:oddVBand="0" w:evenVBand="0" w:oddHBand="1" w:evenHBand="0" w:firstRowFirstColumn="0" w:firstRowLastColumn="0" w:lastRowFirstColumn="0" w:lastRowLastColumn="0"/>
              <w:rPr>
                <w:u w:val="single"/>
              </w:rPr>
            </w:pPr>
            <w:r w:rsidRPr="00957BD4">
              <w:t>Areas of Debate</w:t>
            </w:r>
          </w:p>
        </w:tc>
        <w:tc>
          <w:tcPr>
            <w:tcW w:w="1710" w:type="dxa"/>
            <w:shd w:val="clear" w:color="auto" w:fill="25408F"/>
            <w:vAlign w:val="bottom"/>
          </w:tcPr>
          <w:p w14:paraId="0EAC865A" w14:textId="59404F5E" w:rsidR="001B094D"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957BD4">
              <w:t xml:space="preserve">Would this require Legislation or Rulemaking? If so, what? </w:t>
            </w:r>
          </w:p>
        </w:tc>
        <w:tc>
          <w:tcPr>
            <w:tcW w:w="1170" w:type="dxa"/>
            <w:shd w:val="clear" w:color="auto" w:fill="25408F"/>
            <w:vAlign w:val="bottom"/>
          </w:tcPr>
          <w:p w14:paraId="0BAAF135" w14:textId="13319C19" w:rsidR="001B094D"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171D3D">
              <w:t>Could another process address?</w:t>
            </w:r>
          </w:p>
        </w:tc>
      </w:tr>
      <w:tr w:rsidR="001B094D" w14:paraId="2522151D" w14:textId="77777777" w:rsidTr="001B094D">
        <w:trPr>
          <w:trHeight w:val="268"/>
          <w:jc w:val="center"/>
        </w:trPr>
        <w:tc>
          <w:tcPr>
            <w:cnfStyle w:val="001000000000" w:firstRow="0" w:lastRow="0" w:firstColumn="1" w:lastColumn="0" w:oddVBand="0" w:evenVBand="0" w:oddHBand="0" w:evenHBand="0" w:firstRowFirstColumn="0" w:firstRowLastColumn="0" w:lastRowFirstColumn="0" w:lastRowLastColumn="0"/>
            <w:tcW w:w="1568" w:type="dxa"/>
            <w:shd w:val="clear" w:color="auto" w:fill="DAEEF3" w:themeFill="accent5" w:themeFillTint="33"/>
          </w:tcPr>
          <w:p w14:paraId="48F2EE41" w14:textId="77777777" w:rsidR="009B1EAB" w:rsidRPr="00171D3D" w:rsidRDefault="009B1EAB">
            <w:pPr>
              <w:rPr>
                <w:sz w:val="20"/>
                <w:szCs w:val="20"/>
              </w:rPr>
            </w:pPr>
            <w:r w:rsidRPr="00171D3D">
              <w:rPr>
                <w:sz w:val="20"/>
                <w:szCs w:val="20"/>
              </w:rPr>
              <w:t>Issue 5: Cost-effectiveness Standards</w:t>
            </w:r>
          </w:p>
        </w:tc>
        <w:tc>
          <w:tcPr>
            <w:tcW w:w="2117" w:type="dxa"/>
            <w:shd w:val="clear" w:color="auto" w:fill="DAEEF3" w:themeFill="accent5" w:themeFillTint="33"/>
          </w:tcPr>
          <w:p w14:paraId="2AAB11F3"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rPr>
              <w:t>Stakeholders agree the programs are undervalued using the current cost-effectiveness standard UCT.</w:t>
            </w:r>
          </w:p>
          <w:p w14:paraId="451D9264"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rPr>
              <w:t>Stakeholders agree a Texas cost-effectiveness test could be beneficial.</w:t>
            </w:r>
          </w:p>
        </w:tc>
        <w:tc>
          <w:tcPr>
            <w:tcW w:w="3690" w:type="dxa"/>
            <w:shd w:val="clear" w:color="auto" w:fill="DAEEF3" w:themeFill="accent5" w:themeFillTint="33"/>
          </w:tcPr>
          <w:p w14:paraId="1A85EB1C"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u w:val="single"/>
              </w:rPr>
              <w:t>Perspective 1:</w:t>
            </w:r>
            <w:r w:rsidRPr="00957BD4">
              <w:rPr>
                <w:sz w:val="20"/>
                <w:szCs w:val="20"/>
              </w:rPr>
              <w:t xml:space="preserve"> UCT is clean and simple and works at both the portfolio and program levels. </w:t>
            </w:r>
          </w:p>
          <w:p w14:paraId="7AAEB1AB"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u w:val="single"/>
              </w:rPr>
              <w:t>Perspective 2:</w:t>
            </w:r>
            <w:r w:rsidRPr="00957BD4">
              <w:rPr>
                <w:sz w:val="20"/>
                <w:szCs w:val="20"/>
              </w:rPr>
              <w:t xml:space="preserve"> Texas is a different market with unique goals; why not create a Texas-centric cost-effectiveness test?</w:t>
            </w:r>
          </w:p>
          <w:p w14:paraId="0F6C72D4" w14:textId="4A12354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u w:val="single"/>
              </w:rPr>
              <w:t>Perspective 3:</w:t>
            </w:r>
            <w:r w:rsidRPr="00957BD4">
              <w:rPr>
                <w:sz w:val="20"/>
                <w:szCs w:val="20"/>
              </w:rPr>
              <w:t xml:space="preserve"> Incorporating language in </w:t>
            </w:r>
            <w:r w:rsidR="0014083D">
              <w:rPr>
                <w:sz w:val="20"/>
                <w:szCs w:val="20"/>
              </w:rPr>
              <w:t>16 TAC §25.181</w:t>
            </w:r>
            <w:r w:rsidRPr="00957BD4">
              <w:rPr>
                <w:sz w:val="20"/>
                <w:szCs w:val="20"/>
              </w:rPr>
              <w:t xml:space="preserve"> that allows for PUC approval if you present a good case for a new program type with a different cost-effectiveness standard could work.</w:t>
            </w:r>
          </w:p>
        </w:tc>
        <w:tc>
          <w:tcPr>
            <w:tcW w:w="1710" w:type="dxa"/>
            <w:shd w:val="clear" w:color="auto" w:fill="DAEEF3" w:themeFill="accent5" w:themeFillTint="33"/>
          </w:tcPr>
          <w:p w14:paraId="4E7DF8E5" w14:textId="44296C2B" w:rsidR="009B1EAB" w:rsidRPr="00957BD4" w:rsidRDefault="004A570A">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9B1EAB" w:rsidRPr="00957BD4">
              <w:rPr>
                <w:sz w:val="20"/>
                <w:szCs w:val="20"/>
              </w:rPr>
              <w:t>(d) Cost Effectiveness Standard (UCT is not called out specifically)</w:t>
            </w:r>
          </w:p>
        </w:tc>
        <w:tc>
          <w:tcPr>
            <w:tcW w:w="1170" w:type="dxa"/>
            <w:shd w:val="clear" w:color="auto" w:fill="DAEEF3" w:themeFill="accent5" w:themeFillTint="33"/>
          </w:tcPr>
          <w:p w14:paraId="51C246C7" w14:textId="77777777" w:rsidR="009B1EAB" w:rsidRDefault="009B1EAB">
            <w:pPr>
              <w:cnfStyle w:val="000000000000" w:firstRow="0" w:lastRow="0" w:firstColumn="0" w:lastColumn="0" w:oddVBand="0" w:evenVBand="0" w:oddHBand="0" w:evenHBand="0" w:firstRowFirstColumn="0" w:firstRowLastColumn="0" w:lastRowFirstColumn="0" w:lastRowLastColumn="0"/>
            </w:pPr>
          </w:p>
        </w:tc>
      </w:tr>
      <w:tr w:rsidR="009B1EAB" w14:paraId="70A15272" w14:textId="77777777" w:rsidTr="001B094D">
        <w:trPr>
          <w:cnfStyle w:val="000000100000" w:firstRow="0" w:lastRow="0" w:firstColumn="0" w:lastColumn="0" w:oddVBand="0" w:evenVBand="0" w:oddHBand="1" w:evenHBand="0" w:firstRowFirstColumn="0" w:firstRowLastColumn="0" w:lastRowFirstColumn="0" w:lastRowLastColumn="0"/>
          <w:trHeight w:val="268"/>
          <w:jc w:val="center"/>
        </w:trPr>
        <w:tc>
          <w:tcPr>
            <w:cnfStyle w:val="001000000000" w:firstRow="0" w:lastRow="0" w:firstColumn="1" w:lastColumn="0" w:oddVBand="0" w:evenVBand="0" w:oddHBand="0" w:evenHBand="0" w:firstRowFirstColumn="0" w:firstRowLastColumn="0" w:lastRowFirstColumn="0" w:lastRowLastColumn="0"/>
            <w:tcW w:w="1568" w:type="dxa"/>
            <w:shd w:val="clear" w:color="auto" w:fill="auto"/>
          </w:tcPr>
          <w:p w14:paraId="2790C4B1" w14:textId="77777777" w:rsidR="009B1EAB" w:rsidRPr="00171D3D" w:rsidRDefault="009B1EAB">
            <w:pPr>
              <w:rPr>
                <w:sz w:val="20"/>
                <w:szCs w:val="20"/>
              </w:rPr>
            </w:pPr>
            <w:r w:rsidRPr="00171D3D">
              <w:rPr>
                <w:sz w:val="20"/>
                <w:szCs w:val="20"/>
              </w:rPr>
              <w:t>Issue 6: Cost-effectiveness calculated at the program level</w:t>
            </w:r>
          </w:p>
        </w:tc>
        <w:tc>
          <w:tcPr>
            <w:tcW w:w="2117" w:type="dxa"/>
            <w:shd w:val="clear" w:color="auto" w:fill="auto"/>
          </w:tcPr>
          <w:p w14:paraId="77D674E4" w14:textId="77777777" w:rsidR="009B1EAB" w:rsidRPr="00957BD4" w:rsidRDefault="009B1EAB">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rPr>
              <w:t>Stakeholders agree that cost-effectiveness at the portfolio level will provide more benefits and flexibility to programs.</w:t>
            </w:r>
          </w:p>
        </w:tc>
        <w:tc>
          <w:tcPr>
            <w:tcW w:w="3690" w:type="dxa"/>
            <w:shd w:val="clear" w:color="auto" w:fill="auto"/>
          </w:tcPr>
          <w:p w14:paraId="794F50AD" w14:textId="77777777" w:rsidR="009B1EAB" w:rsidRPr="00957BD4" w:rsidRDefault="009B1EAB">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u w:val="single"/>
              </w:rPr>
              <w:t>Perspective 1:</w:t>
            </w:r>
            <w:r w:rsidRPr="00957BD4">
              <w:rPr>
                <w:sz w:val="20"/>
                <w:szCs w:val="20"/>
              </w:rPr>
              <w:t xml:space="preserve"> Cost-effectiveness at the portfolio level will help include measures for low-income programs that may not be as cost-effective. But overall, ratepayers realize a benefit.</w:t>
            </w:r>
          </w:p>
          <w:p w14:paraId="3B7A7BB2" w14:textId="77777777" w:rsidR="009B1EAB" w:rsidRPr="00957BD4" w:rsidRDefault="009B1EAB">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u w:val="single"/>
              </w:rPr>
              <w:t>Perspective 2:</w:t>
            </w:r>
            <w:r w:rsidRPr="00957BD4">
              <w:rPr>
                <w:sz w:val="20"/>
                <w:szCs w:val="20"/>
              </w:rPr>
              <w:t xml:space="preserve"> Cost-effectiveness at a portfolio level will allow for higher incentives so we can reach HTR customers.</w:t>
            </w:r>
          </w:p>
          <w:p w14:paraId="3B482850" w14:textId="77777777" w:rsidR="009B1EAB" w:rsidRPr="00957BD4" w:rsidRDefault="009B1EAB">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u w:val="single"/>
              </w:rPr>
              <w:t>Perspective 3:</w:t>
            </w:r>
            <w:r w:rsidRPr="00957BD4">
              <w:rPr>
                <w:sz w:val="20"/>
                <w:szCs w:val="20"/>
              </w:rPr>
              <w:t xml:space="preserve"> Cost-effectiveness at the portfolio level will allow more innovations in program design and new measures.</w:t>
            </w:r>
          </w:p>
          <w:p w14:paraId="5049D7CD" w14:textId="450941EA" w:rsidR="009B1EAB" w:rsidRPr="00957BD4" w:rsidRDefault="009B1EAB" w:rsidP="004D5807">
            <w:pPr>
              <w:cnfStyle w:val="000000100000" w:firstRow="0" w:lastRow="0" w:firstColumn="0" w:lastColumn="0" w:oddVBand="0" w:evenVBand="0" w:oddHBand="1" w:evenHBand="0" w:firstRowFirstColumn="0" w:firstRowLastColumn="0" w:lastRowFirstColumn="0" w:lastRowLastColumn="0"/>
              <w:rPr>
                <w:sz w:val="20"/>
                <w:szCs w:val="20"/>
              </w:rPr>
            </w:pPr>
            <w:r w:rsidRPr="00957BD4">
              <w:rPr>
                <w:sz w:val="20"/>
                <w:szCs w:val="20"/>
                <w:u w:val="single"/>
              </w:rPr>
              <w:t>Perspective 4:</w:t>
            </w:r>
            <w:r w:rsidRPr="00957BD4">
              <w:rPr>
                <w:sz w:val="20"/>
                <w:szCs w:val="20"/>
              </w:rPr>
              <w:t xml:space="preserve"> Calculating cost effectiveness at the portfolio level may run the risk of subsidizing programs between rate classes. However, having different cost caps for residential and commercial programs may solve this. </w:t>
            </w:r>
          </w:p>
        </w:tc>
        <w:tc>
          <w:tcPr>
            <w:tcW w:w="1710" w:type="dxa"/>
            <w:shd w:val="clear" w:color="auto" w:fill="auto"/>
          </w:tcPr>
          <w:p w14:paraId="3BE8A7FE" w14:textId="56961641" w:rsidR="009B1EAB" w:rsidRPr="00957BD4" w:rsidRDefault="004A570A">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9B1EAB" w:rsidRPr="00957BD4">
              <w:rPr>
                <w:sz w:val="20"/>
                <w:szCs w:val="20"/>
              </w:rPr>
              <w:t>(d)(1) Cost Effectiveness Standard</w:t>
            </w:r>
          </w:p>
        </w:tc>
        <w:tc>
          <w:tcPr>
            <w:tcW w:w="1170" w:type="dxa"/>
            <w:shd w:val="clear" w:color="auto" w:fill="auto"/>
          </w:tcPr>
          <w:p w14:paraId="678190EA" w14:textId="77777777" w:rsidR="009B1EAB" w:rsidRDefault="009B1EAB">
            <w:pPr>
              <w:cnfStyle w:val="000000100000" w:firstRow="0" w:lastRow="0" w:firstColumn="0" w:lastColumn="0" w:oddVBand="0" w:evenVBand="0" w:oddHBand="1" w:evenHBand="0" w:firstRowFirstColumn="0" w:firstRowLastColumn="0" w:lastRowFirstColumn="0" w:lastRowLastColumn="0"/>
            </w:pPr>
          </w:p>
        </w:tc>
      </w:tr>
      <w:tr w:rsidR="001B094D" w14:paraId="4913807F" w14:textId="77777777" w:rsidTr="001B094D">
        <w:trPr>
          <w:trHeight w:val="268"/>
          <w:jc w:val="center"/>
        </w:trPr>
        <w:tc>
          <w:tcPr>
            <w:cnfStyle w:val="001000000000" w:firstRow="0" w:lastRow="0" w:firstColumn="1" w:lastColumn="0" w:oddVBand="0" w:evenVBand="0" w:oddHBand="0" w:evenHBand="0" w:firstRowFirstColumn="0" w:firstRowLastColumn="0" w:lastRowFirstColumn="0" w:lastRowLastColumn="0"/>
            <w:tcW w:w="1568" w:type="dxa"/>
            <w:shd w:val="clear" w:color="auto" w:fill="DAEEF3" w:themeFill="accent5" w:themeFillTint="33"/>
          </w:tcPr>
          <w:p w14:paraId="77E4DFC3" w14:textId="77777777" w:rsidR="009B1EAB" w:rsidRPr="00171D3D" w:rsidRDefault="009B1EAB">
            <w:pPr>
              <w:rPr>
                <w:sz w:val="20"/>
                <w:szCs w:val="20"/>
              </w:rPr>
            </w:pPr>
            <w:r w:rsidRPr="00171D3D">
              <w:rPr>
                <w:sz w:val="20"/>
                <w:szCs w:val="20"/>
              </w:rPr>
              <w:t>Issue 7: Calculation of program benefits</w:t>
            </w:r>
          </w:p>
        </w:tc>
        <w:tc>
          <w:tcPr>
            <w:tcW w:w="2117" w:type="dxa"/>
            <w:shd w:val="clear" w:color="auto" w:fill="DAEEF3" w:themeFill="accent5" w:themeFillTint="33"/>
          </w:tcPr>
          <w:p w14:paraId="226941E4"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rPr>
              <w:t xml:space="preserve">Stakeholders agree that the programs are not capturing all the benefits they provide to ratepayers and Texans. </w:t>
            </w:r>
          </w:p>
        </w:tc>
        <w:tc>
          <w:tcPr>
            <w:tcW w:w="3690" w:type="dxa"/>
            <w:shd w:val="clear" w:color="auto" w:fill="DAEEF3" w:themeFill="accent5" w:themeFillTint="33"/>
          </w:tcPr>
          <w:p w14:paraId="3B1179A8"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u w:val="single"/>
              </w:rPr>
              <w:t>Perspective 1:</w:t>
            </w:r>
            <w:r w:rsidRPr="00957BD4">
              <w:rPr>
                <w:sz w:val="20"/>
                <w:szCs w:val="20"/>
              </w:rPr>
              <w:t xml:space="preserve"> We should consider incorporating the avoided transmission and distribution costs associated with EE programs. They are not currently incorporated into the calculation.</w:t>
            </w:r>
          </w:p>
          <w:p w14:paraId="29BBD986" w14:textId="77777777" w:rsidR="009B1EAB" w:rsidRPr="00957BD4"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u w:val="single"/>
              </w:rPr>
              <w:t>Perspective 2:</w:t>
            </w:r>
            <w:r w:rsidRPr="00957BD4">
              <w:rPr>
                <w:sz w:val="20"/>
                <w:szCs w:val="20"/>
              </w:rPr>
              <w:t xml:space="preserve"> Utilities should be able to claim both winter and summer peak savings if the measure achieves savings during both peaks and should be included in the cost-effectiveness calculation.</w:t>
            </w:r>
          </w:p>
          <w:p w14:paraId="3123D943" w14:textId="77777777" w:rsidR="009B1EAB" w:rsidRPr="00957BD4" w:rsidDel="00CC76A1" w:rsidRDefault="009B1EAB">
            <w:pPr>
              <w:cnfStyle w:val="000000000000" w:firstRow="0" w:lastRow="0" w:firstColumn="0" w:lastColumn="0" w:oddVBand="0" w:evenVBand="0" w:oddHBand="0" w:evenHBand="0" w:firstRowFirstColumn="0" w:firstRowLastColumn="0" w:lastRowFirstColumn="0" w:lastRowLastColumn="0"/>
              <w:rPr>
                <w:sz w:val="20"/>
                <w:szCs w:val="20"/>
              </w:rPr>
            </w:pPr>
            <w:r w:rsidRPr="00957BD4">
              <w:rPr>
                <w:sz w:val="20"/>
                <w:szCs w:val="20"/>
                <w:u w:val="single"/>
              </w:rPr>
              <w:t xml:space="preserve">Perspective 3: </w:t>
            </w:r>
            <w:r w:rsidRPr="00957BD4">
              <w:rPr>
                <w:sz w:val="20"/>
                <w:szCs w:val="20"/>
              </w:rPr>
              <w:t>We should consider capturing the benefits of water, natural gas, and carbon savings.</w:t>
            </w:r>
          </w:p>
        </w:tc>
        <w:tc>
          <w:tcPr>
            <w:tcW w:w="1710" w:type="dxa"/>
            <w:shd w:val="clear" w:color="auto" w:fill="DAEEF3" w:themeFill="accent5" w:themeFillTint="33"/>
          </w:tcPr>
          <w:p w14:paraId="4752A446" w14:textId="0F32854D" w:rsidR="009B1EAB" w:rsidRPr="00957BD4" w:rsidDel="00CC76A1" w:rsidRDefault="004A570A">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§25.181</w:t>
            </w:r>
            <w:r w:rsidR="009B1EAB" w:rsidRPr="00957BD4">
              <w:rPr>
                <w:sz w:val="20"/>
                <w:szCs w:val="20"/>
              </w:rPr>
              <w:t>(d)(1)Cost Effectiveness Standard &amp; Benefits</w:t>
            </w:r>
          </w:p>
        </w:tc>
        <w:tc>
          <w:tcPr>
            <w:tcW w:w="1170" w:type="dxa"/>
            <w:shd w:val="clear" w:color="auto" w:fill="DAEEF3" w:themeFill="accent5" w:themeFillTint="33"/>
          </w:tcPr>
          <w:p w14:paraId="4874EF77" w14:textId="77777777" w:rsidR="009B1EAB" w:rsidDel="00CC76A1" w:rsidRDefault="009B1EAB">
            <w:pPr>
              <w:cnfStyle w:val="000000000000" w:firstRow="0" w:lastRow="0" w:firstColumn="0" w:lastColumn="0" w:oddVBand="0" w:evenVBand="0" w:oddHBand="0" w:evenHBand="0" w:firstRowFirstColumn="0" w:firstRowLastColumn="0" w:lastRowFirstColumn="0" w:lastRowLastColumn="0"/>
            </w:pPr>
          </w:p>
        </w:tc>
      </w:tr>
    </w:tbl>
    <w:p w14:paraId="73AEA6DA" w14:textId="4281ACE2" w:rsidR="00393C6A" w:rsidRDefault="00216A7E" w:rsidP="001B094D">
      <w:pPr>
        <w:keepNext/>
        <w:keepLines/>
        <w:rPr>
          <w:b/>
          <w:bCs/>
          <w:sz w:val="24"/>
          <w:szCs w:val="24"/>
        </w:rPr>
      </w:pPr>
      <w:r w:rsidRPr="00153088">
        <w:rPr>
          <w:b/>
          <w:bCs/>
          <w:sz w:val="24"/>
          <w:szCs w:val="24"/>
        </w:rPr>
        <w:t>Session 3 February 23, 2023</w:t>
      </w:r>
      <w:r w:rsidR="004D5807">
        <w:rPr>
          <w:b/>
          <w:bCs/>
          <w:sz w:val="24"/>
          <w:szCs w:val="24"/>
        </w:rPr>
        <w:t xml:space="preserve">: </w:t>
      </w:r>
      <w:r w:rsidR="004D5807" w:rsidRPr="004D5807">
        <w:rPr>
          <w:b/>
          <w:bCs/>
          <w:sz w:val="24"/>
          <w:szCs w:val="24"/>
        </w:rPr>
        <w:t>Performance bonus and REP participation in the delivery of programs</w:t>
      </w:r>
    </w:p>
    <w:p w14:paraId="71123BB6" w14:textId="1891B4C8" w:rsidR="00C714AA" w:rsidRPr="00153088" w:rsidRDefault="00C714AA" w:rsidP="001B094D">
      <w:pPr>
        <w:keepNext/>
        <w:keepLines/>
      </w:pPr>
      <w:r w:rsidRPr="00153088">
        <w:rPr>
          <w:rFonts w:eastAsia="Calibri"/>
        </w:rPr>
        <w:t>The table below summarizes the key issues identified and places a priority/level of effort for addressing the issue in a rulemaking</w:t>
      </w:r>
      <w:r w:rsidR="004D5807">
        <w:rPr>
          <w:rFonts w:eastAsia="Calibri"/>
        </w:rPr>
        <w:t xml:space="preserve"> and/or legislative chan</w:t>
      </w:r>
      <w:r w:rsidR="00A01A04">
        <w:rPr>
          <w:rFonts w:eastAsia="Calibri"/>
        </w:rPr>
        <w:t>g</w:t>
      </w:r>
      <w:r w:rsidR="004D5807">
        <w:rPr>
          <w:rFonts w:eastAsia="Calibri"/>
        </w:rPr>
        <w:t>e</w:t>
      </w:r>
      <w:r w:rsidRPr="00153088">
        <w:t xml:space="preserve">. </w:t>
      </w:r>
    </w:p>
    <w:tbl>
      <w:tblPr>
        <w:tblStyle w:val="GridTable4-Accent5"/>
        <w:tblW w:w="100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032"/>
        <w:gridCol w:w="4319"/>
        <w:gridCol w:w="3724"/>
      </w:tblGrid>
      <w:tr w:rsidR="00C714AA" w14:paraId="45FA4B69" w14:textId="77777777" w:rsidTr="001B09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tcBorders>
              <w:top w:val="none" w:sz="0" w:space="0" w:color="auto"/>
              <w:left w:val="none" w:sz="0" w:space="0" w:color="auto"/>
              <w:bottom w:val="none" w:sz="0" w:space="0" w:color="auto"/>
              <w:right w:val="none" w:sz="0" w:space="0" w:color="auto"/>
            </w:tcBorders>
            <w:shd w:val="clear" w:color="auto" w:fill="25408F"/>
          </w:tcPr>
          <w:p w14:paraId="6389ADAD" w14:textId="77777777" w:rsidR="00C714AA" w:rsidRPr="00153088" w:rsidRDefault="00C714AA" w:rsidP="001B094D">
            <w:pPr>
              <w:pStyle w:val="TT-TableHeading"/>
              <w:keepNext/>
              <w:keepLines/>
              <w:rPr>
                <w:bCs/>
              </w:rPr>
            </w:pPr>
            <w:r w:rsidRPr="00153088">
              <w:t>Issue</w:t>
            </w:r>
          </w:p>
        </w:tc>
        <w:tc>
          <w:tcPr>
            <w:tcW w:w="4319" w:type="dxa"/>
            <w:tcBorders>
              <w:top w:val="none" w:sz="0" w:space="0" w:color="auto"/>
              <w:left w:val="none" w:sz="0" w:space="0" w:color="auto"/>
              <w:bottom w:val="none" w:sz="0" w:space="0" w:color="auto"/>
              <w:right w:val="none" w:sz="0" w:space="0" w:color="auto"/>
            </w:tcBorders>
            <w:shd w:val="clear" w:color="auto" w:fill="25408F"/>
          </w:tcPr>
          <w:p w14:paraId="33D8A9BA" w14:textId="77777777" w:rsidR="00C714AA" w:rsidRPr="00153088" w:rsidRDefault="00C714AA" w:rsidP="001B094D">
            <w:pPr>
              <w:pStyle w:val="TT-TableHeading"/>
              <w:keepNext/>
              <w:keepLines/>
              <w:cnfStyle w:val="100000000000" w:firstRow="1" w:lastRow="0" w:firstColumn="0" w:lastColumn="0" w:oddVBand="0" w:evenVBand="0" w:oddHBand="0" w:evenHBand="0" w:firstRowFirstColumn="0" w:firstRowLastColumn="0" w:lastRowFirstColumn="0" w:lastRowLastColumn="0"/>
              <w:rPr>
                <w:bCs/>
              </w:rPr>
            </w:pPr>
            <w:r w:rsidRPr="00153088">
              <w:t>Summary</w:t>
            </w:r>
          </w:p>
        </w:tc>
        <w:tc>
          <w:tcPr>
            <w:tcW w:w="3724" w:type="dxa"/>
            <w:tcBorders>
              <w:top w:val="none" w:sz="0" w:space="0" w:color="auto"/>
              <w:left w:val="none" w:sz="0" w:space="0" w:color="auto"/>
              <w:bottom w:val="none" w:sz="0" w:space="0" w:color="auto"/>
              <w:right w:val="none" w:sz="0" w:space="0" w:color="auto"/>
            </w:tcBorders>
            <w:shd w:val="clear" w:color="auto" w:fill="25408F"/>
          </w:tcPr>
          <w:p w14:paraId="19F42348" w14:textId="43E5D6ED" w:rsidR="00C714AA" w:rsidRPr="00153088" w:rsidRDefault="00C714AA" w:rsidP="001B094D">
            <w:pPr>
              <w:pStyle w:val="TT-TableHeading"/>
              <w:keepNext/>
              <w:keepLines/>
              <w:cnfStyle w:val="100000000000" w:firstRow="1" w:lastRow="0" w:firstColumn="0" w:lastColumn="0" w:oddVBand="0" w:evenVBand="0" w:oddHBand="0" w:evenHBand="0" w:firstRowFirstColumn="0" w:firstRowLastColumn="0" w:lastRowFirstColumn="0" w:lastRowLastColumn="0"/>
              <w:rPr>
                <w:bCs/>
              </w:rPr>
            </w:pPr>
            <w:r w:rsidRPr="00153088">
              <w:t xml:space="preserve">Working Group </w:t>
            </w:r>
            <w:r w:rsidR="001B094D" w:rsidRPr="00153088">
              <w:t>priority and why</w:t>
            </w:r>
          </w:p>
        </w:tc>
      </w:tr>
      <w:tr w:rsidR="00C714AA" w14:paraId="64D3FB05" w14:textId="77777777" w:rsidTr="001B09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tcPr>
          <w:p w14:paraId="2E2BD536" w14:textId="77777777" w:rsidR="00C714AA" w:rsidRPr="00153088" w:rsidRDefault="00C714AA" w:rsidP="001B094D">
            <w:pPr>
              <w:keepNext/>
              <w:keepLines/>
              <w:rPr>
                <w:sz w:val="20"/>
                <w:szCs w:val="20"/>
              </w:rPr>
            </w:pPr>
            <w:r w:rsidRPr="00153088">
              <w:rPr>
                <w:sz w:val="20"/>
                <w:szCs w:val="20"/>
              </w:rPr>
              <w:t>Issue 1: Performance Bonus Need</w:t>
            </w:r>
          </w:p>
        </w:tc>
        <w:tc>
          <w:tcPr>
            <w:tcW w:w="4319" w:type="dxa"/>
          </w:tcPr>
          <w:p w14:paraId="629F38D4" w14:textId="77777777" w:rsidR="00C714AA" w:rsidRPr="00153088" w:rsidRDefault="00C714AA"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rPr>
              <w:t>PURA section 39.905 (b)(2) requires Commission to establish performance bonuses for utilities that exceed the minimum goals.</w:t>
            </w:r>
          </w:p>
          <w:p w14:paraId="61063521" w14:textId="3363354E" w:rsidR="00C714AA" w:rsidRPr="00153088" w:rsidRDefault="00CB771B"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§25.182</w:t>
            </w:r>
            <w:r w:rsidRPr="00153088">
              <w:rPr>
                <w:sz w:val="20"/>
                <w:szCs w:val="20"/>
              </w:rPr>
              <w:t xml:space="preserve"> </w:t>
            </w:r>
            <w:r w:rsidR="00C714AA" w:rsidRPr="00153088">
              <w:rPr>
                <w:sz w:val="20"/>
                <w:szCs w:val="20"/>
              </w:rPr>
              <w:t>(e) Utility that exceed 100% of its demand and energy reduction goals receive a bonus equal to 1% of net benefits for every 2% that the demand reduction goal has been exceeded – capped at 10% of the utility's total net benefits. Performance bonuses are included in program costs when calculating Net Benefits.</w:t>
            </w:r>
          </w:p>
        </w:tc>
        <w:tc>
          <w:tcPr>
            <w:tcW w:w="3724" w:type="dxa"/>
          </w:tcPr>
          <w:p w14:paraId="46311A8A" w14:textId="76E37B4F" w:rsidR="00C714AA" w:rsidRPr="00153088" w:rsidRDefault="00C714AA" w:rsidP="001B094D">
            <w:pPr>
              <w:keepNext/>
              <w:keepLines/>
              <w:cnfStyle w:val="000000100000" w:firstRow="0" w:lastRow="0" w:firstColumn="0" w:lastColumn="0" w:oddVBand="0" w:evenVBand="0" w:oddHBand="1" w:evenHBand="0" w:firstRowFirstColumn="0" w:firstRowLastColumn="0" w:lastRowFirstColumn="0" w:lastRowLastColumn="0"/>
              <w:rPr>
                <w:sz w:val="20"/>
                <w:szCs w:val="20"/>
              </w:rPr>
            </w:pPr>
            <w:r w:rsidRPr="00153088">
              <w:rPr>
                <w:b/>
                <w:bCs/>
                <w:sz w:val="20"/>
                <w:szCs w:val="20"/>
              </w:rPr>
              <w:t xml:space="preserve">Medium Priority: </w:t>
            </w:r>
            <w:r w:rsidRPr="00153088">
              <w:rPr>
                <w:sz w:val="20"/>
                <w:szCs w:val="20"/>
              </w:rPr>
              <w:t xml:space="preserve">Stakeholders voiced agreement that the performance bonus or revenue recovery is needed to support programs. </w:t>
            </w:r>
            <w:r w:rsidR="0014083D">
              <w:rPr>
                <w:sz w:val="20"/>
                <w:szCs w:val="20"/>
              </w:rPr>
              <w:t>16 TAC §25.18</w:t>
            </w:r>
            <w:r w:rsidR="00AC7812">
              <w:rPr>
                <w:sz w:val="20"/>
                <w:szCs w:val="20"/>
              </w:rPr>
              <w:t>2</w:t>
            </w:r>
            <w:r w:rsidRPr="00153088">
              <w:rPr>
                <w:sz w:val="20"/>
                <w:szCs w:val="20"/>
              </w:rPr>
              <w:t xml:space="preserve"> change requirement may be more around the calculation of the performance bonus.</w:t>
            </w:r>
          </w:p>
        </w:tc>
      </w:tr>
      <w:tr w:rsidR="001B094D" w14:paraId="765CDA68" w14:textId="77777777" w:rsidTr="001B094D">
        <w:tc>
          <w:tcPr>
            <w:cnfStyle w:val="001000000000" w:firstRow="0" w:lastRow="0" w:firstColumn="1" w:lastColumn="0" w:oddVBand="0" w:evenVBand="0" w:oddHBand="0" w:evenHBand="0" w:firstRowFirstColumn="0" w:firstRowLastColumn="0" w:lastRowFirstColumn="0" w:lastRowLastColumn="0"/>
            <w:tcW w:w="2032" w:type="dxa"/>
            <w:shd w:val="clear" w:color="auto" w:fill="25408F"/>
          </w:tcPr>
          <w:p w14:paraId="7343C344" w14:textId="2A594E03" w:rsidR="001B094D" w:rsidRPr="00153088" w:rsidRDefault="001B094D" w:rsidP="001B094D">
            <w:pPr>
              <w:pStyle w:val="TT-TableHeading"/>
            </w:pPr>
            <w:r w:rsidRPr="00153088">
              <w:t>Issue</w:t>
            </w:r>
          </w:p>
        </w:tc>
        <w:tc>
          <w:tcPr>
            <w:tcW w:w="4319" w:type="dxa"/>
            <w:shd w:val="clear" w:color="auto" w:fill="25408F"/>
          </w:tcPr>
          <w:p w14:paraId="09A6ED9C" w14:textId="3F129511" w:rsidR="001B094D" w:rsidRPr="00153088"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153088">
              <w:t>Summary</w:t>
            </w:r>
          </w:p>
        </w:tc>
        <w:tc>
          <w:tcPr>
            <w:tcW w:w="3724" w:type="dxa"/>
            <w:shd w:val="clear" w:color="auto" w:fill="25408F"/>
          </w:tcPr>
          <w:p w14:paraId="63F62E58" w14:textId="46ED8E0F" w:rsidR="001B094D" w:rsidRPr="00153088"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153088">
              <w:t>Working Group priority and why</w:t>
            </w:r>
          </w:p>
        </w:tc>
      </w:tr>
      <w:tr w:rsidR="00C714AA" w14:paraId="2B625927" w14:textId="77777777" w:rsidTr="001B09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shd w:val="clear" w:color="auto" w:fill="auto"/>
          </w:tcPr>
          <w:p w14:paraId="3351D552" w14:textId="77777777" w:rsidR="00C714AA" w:rsidRPr="00153088" w:rsidRDefault="00C714AA">
            <w:pPr>
              <w:rPr>
                <w:sz w:val="20"/>
                <w:szCs w:val="20"/>
              </w:rPr>
            </w:pPr>
            <w:r w:rsidRPr="00153088">
              <w:rPr>
                <w:sz w:val="20"/>
                <w:szCs w:val="20"/>
              </w:rPr>
              <w:t>Issue 2: Modifications to Existing Calculation</w:t>
            </w:r>
          </w:p>
        </w:tc>
        <w:tc>
          <w:tcPr>
            <w:tcW w:w="4319" w:type="dxa"/>
            <w:shd w:val="clear" w:color="auto" w:fill="auto"/>
          </w:tcPr>
          <w:p w14:paraId="657170D8" w14:textId="64AE36C0" w:rsidR="00C714AA" w:rsidRPr="00153088" w:rsidRDefault="00CB771B">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§25.182</w:t>
            </w:r>
            <w:r w:rsidRPr="00153088">
              <w:rPr>
                <w:sz w:val="20"/>
                <w:szCs w:val="20"/>
              </w:rPr>
              <w:t xml:space="preserve"> </w:t>
            </w:r>
            <w:r w:rsidR="00C714AA" w:rsidRPr="00153088">
              <w:rPr>
                <w:sz w:val="20"/>
                <w:szCs w:val="20"/>
              </w:rPr>
              <w:t>(e)(5), when calculating net benefits to determine performance bonus, a discount rate equal to the utility's weighted average cost of capital of the utility and an escalation rate of 2% shall be used.</w:t>
            </w:r>
          </w:p>
        </w:tc>
        <w:tc>
          <w:tcPr>
            <w:tcW w:w="3724" w:type="dxa"/>
            <w:shd w:val="clear" w:color="auto" w:fill="auto"/>
          </w:tcPr>
          <w:p w14:paraId="4C03084D"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b/>
                <w:bCs/>
                <w:sz w:val="20"/>
                <w:szCs w:val="20"/>
              </w:rPr>
              <w:t xml:space="preserve">High Priority: </w:t>
            </w:r>
            <w:r w:rsidRPr="00153088">
              <w:rPr>
                <w:sz w:val="20"/>
                <w:szCs w:val="20"/>
              </w:rPr>
              <w:t xml:space="preserve">Utility performance bonuses are included as program costs in future years, impacting the cost-effectiveness calculations of programs.  </w:t>
            </w:r>
          </w:p>
        </w:tc>
      </w:tr>
      <w:tr w:rsidR="001B094D" w14:paraId="767D0C73" w14:textId="77777777" w:rsidTr="001B094D">
        <w:tc>
          <w:tcPr>
            <w:cnfStyle w:val="001000000000" w:firstRow="0" w:lastRow="0" w:firstColumn="1" w:lastColumn="0" w:oddVBand="0" w:evenVBand="0" w:oddHBand="0" w:evenHBand="0" w:firstRowFirstColumn="0" w:firstRowLastColumn="0" w:lastRowFirstColumn="0" w:lastRowLastColumn="0"/>
            <w:tcW w:w="2032" w:type="dxa"/>
            <w:shd w:val="clear" w:color="auto" w:fill="25408F"/>
          </w:tcPr>
          <w:p w14:paraId="37A74C70" w14:textId="71F9AD4E" w:rsidR="001B094D" w:rsidRPr="00153088" w:rsidRDefault="001B094D" w:rsidP="001B094D">
            <w:pPr>
              <w:pStyle w:val="TT-TableHeading"/>
            </w:pPr>
            <w:r w:rsidRPr="00153088">
              <w:t>Issue</w:t>
            </w:r>
          </w:p>
        </w:tc>
        <w:tc>
          <w:tcPr>
            <w:tcW w:w="4319" w:type="dxa"/>
            <w:shd w:val="clear" w:color="auto" w:fill="25408F"/>
          </w:tcPr>
          <w:p w14:paraId="282C2833" w14:textId="127A72C3" w:rsidR="001B094D"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153088">
              <w:t>Summary</w:t>
            </w:r>
          </w:p>
        </w:tc>
        <w:tc>
          <w:tcPr>
            <w:tcW w:w="3724" w:type="dxa"/>
            <w:shd w:val="clear" w:color="auto" w:fill="25408F"/>
          </w:tcPr>
          <w:p w14:paraId="410EF941" w14:textId="7E916C31" w:rsidR="001B094D" w:rsidRPr="00153088"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153088">
              <w:t>Working Group priority and why</w:t>
            </w:r>
          </w:p>
        </w:tc>
      </w:tr>
      <w:tr w:rsidR="00C714AA" w14:paraId="15ED8311" w14:textId="77777777" w:rsidTr="001B094D">
        <w:trPr>
          <w:cnfStyle w:val="000000100000" w:firstRow="0" w:lastRow="0" w:firstColumn="0" w:lastColumn="0" w:oddVBand="0" w:evenVBand="0" w:oddHBand="1" w:evenHBand="0" w:firstRowFirstColumn="0" w:firstRowLastColumn="0" w:lastRowFirstColumn="0" w:lastRowLastColumn="0"/>
          <w:trHeight w:val="125"/>
        </w:trPr>
        <w:tc>
          <w:tcPr>
            <w:cnfStyle w:val="001000000000" w:firstRow="0" w:lastRow="0" w:firstColumn="1" w:lastColumn="0" w:oddVBand="0" w:evenVBand="0" w:oddHBand="0" w:evenHBand="0" w:firstRowFirstColumn="0" w:firstRowLastColumn="0" w:lastRowFirstColumn="0" w:lastRowLastColumn="0"/>
            <w:tcW w:w="2032" w:type="dxa"/>
          </w:tcPr>
          <w:p w14:paraId="7702E536" w14:textId="77777777" w:rsidR="00C714AA" w:rsidRPr="00153088" w:rsidRDefault="00C714AA">
            <w:pPr>
              <w:rPr>
                <w:sz w:val="20"/>
                <w:szCs w:val="20"/>
              </w:rPr>
            </w:pPr>
            <w:r w:rsidRPr="00153088">
              <w:rPr>
                <w:sz w:val="20"/>
                <w:szCs w:val="20"/>
              </w:rPr>
              <w:t>Issue 3: Performance Bonus Best Practices</w:t>
            </w:r>
          </w:p>
        </w:tc>
        <w:tc>
          <w:tcPr>
            <w:tcW w:w="4319" w:type="dxa"/>
          </w:tcPr>
          <w:p w14:paraId="452043B9" w14:textId="2F73F65C"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rPr>
              <w:t xml:space="preserve">Performance bonuses were </w:t>
            </w:r>
            <w:r w:rsidR="007666F4">
              <w:rPr>
                <w:sz w:val="20"/>
                <w:szCs w:val="20"/>
              </w:rPr>
              <w:t xml:space="preserve">first </w:t>
            </w:r>
            <w:r w:rsidRPr="00153088">
              <w:rPr>
                <w:sz w:val="20"/>
                <w:szCs w:val="20"/>
              </w:rPr>
              <w:t>implemented in 2008 and paid out in 2010</w:t>
            </w:r>
            <w:r w:rsidR="007666F4">
              <w:rPr>
                <w:sz w:val="20"/>
                <w:szCs w:val="20"/>
              </w:rPr>
              <w:t xml:space="preserve"> (</w:t>
            </w:r>
            <w:r w:rsidR="007666F4">
              <w:rPr>
                <w:i/>
                <w:iCs/>
                <w:sz w:val="20"/>
                <w:szCs w:val="20"/>
              </w:rPr>
              <w:t>fact check needed)</w:t>
            </w:r>
            <w:r w:rsidRPr="00153088">
              <w:rPr>
                <w:i/>
                <w:iCs/>
                <w:sz w:val="20"/>
                <w:szCs w:val="20"/>
              </w:rPr>
              <w:t xml:space="preserve">. </w:t>
            </w:r>
            <w:r w:rsidRPr="00153088">
              <w:rPr>
                <w:sz w:val="20"/>
                <w:szCs w:val="20"/>
              </w:rPr>
              <w:t>The Texas IOUs performance bonus structure pays less than other utilities in Texas (CPS Energy Municipality)</w:t>
            </w:r>
          </w:p>
        </w:tc>
        <w:tc>
          <w:tcPr>
            <w:tcW w:w="3724" w:type="dxa"/>
          </w:tcPr>
          <w:p w14:paraId="01D2FAD6"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b/>
                <w:bCs/>
                <w:sz w:val="20"/>
                <w:szCs w:val="20"/>
              </w:rPr>
              <w:t xml:space="preserve">Medium Priority: </w:t>
            </w:r>
            <w:r w:rsidRPr="00153088">
              <w:rPr>
                <w:sz w:val="20"/>
                <w:szCs w:val="20"/>
              </w:rPr>
              <w:t>Stakeholders voiced the need to research other states/regions' performance bonus best practices to understand options better.</w:t>
            </w:r>
          </w:p>
        </w:tc>
      </w:tr>
      <w:tr w:rsidR="001B094D" w14:paraId="0AA922C2" w14:textId="77777777" w:rsidTr="001B094D">
        <w:trPr>
          <w:trHeight w:val="125"/>
        </w:trPr>
        <w:tc>
          <w:tcPr>
            <w:cnfStyle w:val="001000000000" w:firstRow="0" w:lastRow="0" w:firstColumn="1" w:lastColumn="0" w:oddVBand="0" w:evenVBand="0" w:oddHBand="0" w:evenHBand="0" w:firstRowFirstColumn="0" w:firstRowLastColumn="0" w:lastRowFirstColumn="0" w:lastRowLastColumn="0"/>
            <w:tcW w:w="2032" w:type="dxa"/>
            <w:shd w:val="clear" w:color="auto" w:fill="25408F"/>
          </w:tcPr>
          <w:p w14:paraId="7BEA4193" w14:textId="6D2C0412" w:rsidR="001B094D" w:rsidRPr="00153088" w:rsidRDefault="001B094D" w:rsidP="001B094D">
            <w:pPr>
              <w:pStyle w:val="TT-TableHeading"/>
            </w:pPr>
            <w:r w:rsidRPr="00153088">
              <w:t>Issue</w:t>
            </w:r>
          </w:p>
        </w:tc>
        <w:tc>
          <w:tcPr>
            <w:tcW w:w="4319" w:type="dxa"/>
            <w:shd w:val="clear" w:color="auto" w:fill="25408F"/>
          </w:tcPr>
          <w:p w14:paraId="64E2A3B4" w14:textId="4CA51A27" w:rsidR="001B094D" w:rsidRPr="00153088"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153088">
              <w:t>Summary</w:t>
            </w:r>
          </w:p>
        </w:tc>
        <w:tc>
          <w:tcPr>
            <w:tcW w:w="3724" w:type="dxa"/>
            <w:shd w:val="clear" w:color="auto" w:fill="25408F"/>
          </w:tcPr>
          <w:p w14:paraId="65AF219B" w14:textId="74E92E7E" w:rsidR="001B094D" w:rsidRPr="00153088"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153088">
              <w:t>Working Group priority and why</w:t>
            </w:r>
          </w:p>
        </w:tc>
      </w:tr>
      <w:tr w:rsidR="00C714AA" w14:paraId="2992F998" w14:textId="77777777" w:rsidTr="001B09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shd w:val="clear" w:color="auto" w:fill="auto"/>
          </w:tcPr>
          <w:p w14:paraId="53C9D3CE" w14:textId="77777777" w:rsidR="00C714AA" w:rsidRPr="00153088" w:rsidRDefault="00C714AA">
            <w:pPr>
              <w:rPr>
                <w:sz w:val="20"/>
                <w:szCs w:val="20"/>
              </w:rPr>
            </w:pPr>
            <w:r w:rsidRPr="00153088">
              <w:rPr>
                <w:sz w:val="20"/>
                <w:szCs w:val="20"/>
              </w:rPr>
              <w:t>Issue 4: Delivery Model</w:t>
            </w:r>
          </w:p>
        </w:tc>
        <w:tc>
          <w:tcPr>
            <w:tcW w:w="4319" w:type="dxa"/>
            <w:shd w:val="clear" w:color="auto" w:fill="auto"/>
          </w:tcPr>
          <w:p w14:paraId="00CF7243" w14:textId="396F9190" w:rsidR="00C714AA" w:rsidRPr="00153088" w:rsidRDefault="004A570A">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C714AA" w:rsidRPr="00153088">
              <w:rPr>
                <w:sz w:val="20"/>
                <w:szCs w:val="20"/>
              </w:rPr>
              <w:t>(r) facilitates the involvement of retail electric providers as an energy efficiency service companies in the delivery of efficiency and demand response programs.</w:t>
            </w:r>
          </w:p>
        </w:tc>
        <w:tc>
          <w:tcPr>
            <w:tcW w:w="3724" w:type="dxa"/>
            <w:shd w:val="clear" w:color="auto" w:fill="auto"/>
          </w:tcPr>
          <w:p w14:paraId="315F2173" w14:textId="66A216BC"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b/>
                <w:bCs/>
                <w:sz w:val="20"/>
                <w:szCs w:val="20"/>
              </w:rPr>
              <w:t>Low Priority:</w:t>
            </w:r>
            <w:r w:rsidRPr="00153088">
              <w:rPr>
                <w:sz w:val="20"/>
                <w:szCs w:val="20"/>
              </w:rPr>
              <w:t xml:space="preserve"> Stakeholders voiced an opportunity for better communication and coordination surrounding REP/</w:t>
            </w:r>
            <w:r w:rsidR="00781F2B">
              <w:rPr>
                <w:sz w:val="20"/>
                <w:szCs w:val="20"/>
              </w:rPr>
              <w:t>TDU</w:t>
            </w:r>
            <w:r w:rsidRPr="00153088">
              <w:rPr>
                <w:sz w:val="20"/>
                <w:szCs w:val="20"/>
              </w:rPr>
              <w:t xml:space="preserve"> involvement and program design and delivery models.</w:t>
            </w:r>
          </w:p>
        </w:tc>
      </w:tr>
      <w:tr w:rsidR="001B094D" w14:paraId="59E61BF8" w14:textId="77777777" w:rsidTr="001B094D">
        <w:tc>
          <w:tcPr>
            <w:cnfStyle w:val="001000000000" w:firstRow="0" w:lastRow="0" w:firstColumn="1" w:lastColumn="0" w:oddVBand="0" w:evenVBand="0" w:oddHBand="0" w:evenHBand="0" w:firstRowFirstColumn="0" w:firstRowLastColumn="0" w:lastRowFirstColumn="0" w:lastRowLastColumn="0"/>
            <w:tcW w:w="2032" w:type="dxa"/>
            <w:shd w:val="clear" w:color="auto" w:fill="25408F"/>
          </w:tcPr>
          <w:p w14:paraId="4FD9B8EF" w14:textId="1F92D9EF" w:rsidR="001B094D" w:rsidRPr="00153088" w:rsidRDefault="001B094D" w:rsidP="001B094D">
            <w:pPr>
              <w:pStyle w:val="TT-TableHeading"/>
            </w:pPr>
            <w:r w:rsidRPr="00153088">
              <w:t>Issue</w:t>
            </w:r>
          </w:p>
        </w:tc>
        <w:tc>
          <w:tcPr>
            <w:tcW w:w="4319" w:type="dxa"/>
            <w:shd w:val="clear" w:color="auto" w:fill="25408F"/>
          </w:tcPr>
          <w:p w14:paraId="6E987D7E" w14:textId="5FBF7459" w:rsidR="001B094D"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153088">
              <w:t>Summary</w:t>
            </w:r>
          </w:p>
        </w:tc>
        <w:tc>
          <w:tcPr>
            <w:tcW w:w="3724" w:type="dxa"/>
            <w:shd w:val="clear" w:color="auto" w:fill="25408F"/>
          </w:tcPr>
          <w:p w14:paraId="6B132E5A" w14:textId="4EDF61F5" w:rsidR="001B094D" w:rsidRPr="00153088"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153088">
              <w:t>Working Group priority and why</w:t>
            </w:r>
          </w:p>
        </w:tc>
      </w:tr>
      <w:tr w:rsidR="00C714AA" w14:paraId="450D2D92" w14:textId="77777777" w:rsidTr="001B09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2" w:type="dxa"/>
          </w:tcPr>
          <w:p w14:paraId="067DFFC5" w14:textId="77777777" w:rsidR="00C714AA" w:rsidRPr="00153088" w:rsidRDefault="00C714AA">
            <w:pPr>
              <w:rPr>
                <w:sz w:val="20"/>
                <w:szCs w:val="20"/>
              </w:rPr>
            </w:pPr>
            <w:r w:rsidRPr="00153088">
              <w:rPr>
                <w:sz w:val="20"/>
                <w:szCs w:val="20"/>
              </w:rPr>
              <w:t>Issue 5: Collaboration and Communication Best Practices and Strategies</w:t>
            </w:r>
          </w:p>
        </w:tc>
        <w:tc>
          <w:tcPr>
            <w:tcW w:w="4319" w:type="dxa"/>
          </w:tcPr>
          <w:p w14:paraId="2AC9E599" w14:textId="6B09E852"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rPr>
              <w:t xml:space="preserve">Section </w:t>
            </w:r>
            <w:r w:rsidR="004A570A">
              <w:rPr>
                <w:sz w:val="20"/>
                <w:szCs w:val="20"/>
              </w:rPr>
              <w:t>16 TAC §25.181</w:t>
            </w:r>
            <w:r w:rsidRPr="00153088">
              <w:rPr>
                <w:sz w:val="20"/>
                <w:szCs w:val="20"/>
              </w:rPr>
              <w:t>(r) facilitates the involvement of retail electric providers as an energy efficiency service companies in the delivery of efficiency and demand response programs.</w:t>
            </w:r>
          </w:p>
        </w:tc>
        <w:tc>
          <w:tcPr>
            <w:tcW w:w="3724" w:type="dxa"/>
          </w:tcPr>
          <w:p w14:paraId="1E79E32E"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b/>
                <w:bCs/>
                <w:sz w:val="20"/>
                <w:szCs w:val="20"/>
              </w:rPr>
              <w:t xml:space="preserve">Low Priority: </w:t>
            </w:r>
            <w:r w:rsidRPr="00153088">
              <w:rPr>
                <w:sz w:val="20"/>
                <w:szCs w:val="20"/>
              </w:rPr>
              <w:t xml:space="preserve">Stakeholders agree the opportunity exists for better communication and collaboration between IOUs, REPs, and Service Providers. </w:t>
            </w:r>
          </w:p>
        </w:tc>
      </w:tr>
    </w:tbl>
    <w:p w14:paraId="22A4A431" w14:textId="14DE0283" w:rsidR="00C714AA" w:rsidRPr="00153088" w:rsidRDefault="00C714AA" w:rsidP="001B094D">
      <w:pPr>
        <w:keepNext/>
        <w:keepLines/>
        <w:rPr>
          <w:b/>
          <w:bCs/>
        </w:rPr>
      </w:pPr>
      <w:r w:rsidRPr="00153088">
        <w:t xml:space="preserve">For each identified key issue above, the following table summarizes areas of agreement, multiple perspectives expressed, and changes that could be needed. </w:t>
      </w:r>
      <w:r w:rsidR="001B094D">
        <w:br/>
      </w:r>
    </w:p>
    <w:tbl>
      <w:tblPr>
        <w:tblStyle w:val="GridTable4-Accent5"/>
        <w:tblW w:w="1007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728"/>
        <w:gridCol w:w="2227"/>
        <w:gridCol w:w="3222"/>
        <w:gridCol w:w="1547"/>
        <w:gridCol w:w="1351"/>
      </w:tblGrid>
      <w:tr w:rsidR="001B094D" w:rsidRPr="00153088" w14:paraId="515D708E" w14:textId="77777777" w:rsidTr="001B094D">
        <w:trPr>
          <w:cnfStyle w:val="100000000000" w:firstRow="1" w:lastRow="0" w:firstColumn="0" w:lastColumn="0" w:oddVBand="0" w:evenVBand="0" w:oddHBand="0" w:evenHBand="0" w:firstRowFirstColumn="0" w:firstRowLastColumn="0" w:lastRowFirstColumn="0" w:lastRowLastColumn="0"/>
          <w:trHeight w:val="1325"/>
          <w:tblHeader/>
        </w:trPr>
        <w:tc>
          <w:tcPr>
            <w:cnfStyle w:val="001000000000" w:firstRow="0" w:lastRow="0" w:firstColumn="1" w:lastColumn="0" w:oddVBand="0" w:evenVBand="0" w:oddHBand="0" w:evenHBand="0" w:firstRowFirstColumn="0" w:firstRowLastColumn="0" w:lastRowFirstColumn="0" w:lastRowLastColumn="0"/>
            <w:tcW w:w="1728" w:type="dxa"/>
            <w:tcBorders>
              <w:top w:val="none" w:sz="0" w:space="0" w:color="auto"/>
              <w:left w:val="none" w:sz="0" w:space="0" w:color="auto"/>
              <w:bottom w:val="none" w:sz="0" w:space="0" w:color="auto"/>
              <w:right w:val="none" w:sz="0" w:space="0" w:color="auto"/>
            </w:tcBorders>
            <w:shd w:val="clear" w:color="auto" w:fill="25408F"/>
            <w:vAlign w:val="bottom"/>
          </w:tcPr>
          <w:p w14:paraId="213BA1D4" w14:textId="58A7B44A" w:rsidR="00C714AA" w:rsidRPr="00153088" w:rsidRDefault="001B094D" w:rsidP="001B094D">
            <w:pPr>
              <w:pStyle w:val="TT-TableHeading"/>
              <w:rPr>
                <w:bCs/>
              </w:rPr>
            </w:pPr>
            <w:r w:rsidRPr="00153088">
              <w:t>Key issue</w:t>
            </w:r>
          </w:p>
        </w:tc>
        <w:tc>
          <w:tcPr>
            <w:tcW w:w="2227" w:type="dxa"/>
            <w:tcBorders>
              <w:top w:val="none" w:sz="0" w:space="0" w:color="auto"/>
              <w:left w:val="none" w:sz="0" w:space="0" w:color="auto"/>
              <w:bottom w:val="none" w:sz="0" w:space="0" w:color="auto"/>
              <w:right w:val="none" w:sz="0" w:space="0" w:color="auto"/>
            </w:tcBorders>
            <w:shd w:val="clear" w:color="auto" w:fill="25408F"/>
            <w:vAlign w:val="bottom"/>
          </w:tcPr>
          <w:p w14:paraId="07BBF412" w14:textId="3B2A2AED" w:rsidR="00C714AA" w:rsidRPr="00153088" w:rsidRDefault="001B094D" w:rsidP="001B094D">
            <w:pPr>
              <w:pStyle w:val="TT-TableHeading"/>
              <w:cnfStyle w:val="100000000000" w:firstRow="1" w:lastRow="0" w:firstColumn="0" w:lastColumn="0" w:oddVBand="0" w:evenVBand="0" w:oddHBand="0" w:evenHBand="0" w:firstRowFirstColumn="0" w:firstRowLastColumn="0" w:lastRowFirstColumn="0" w:lastRowLastColumn="0"/>
              <w:rPr>
                <w:bCs/>
              </w:rPr>
            </w:pPr>
            <w:r w:rsidRPr="00153088">
              <w:t>Areas of agreement</w:t>
            </w:r>
          </w:p>
        </w:tc>
        <w:tc>
          <w:tcPr>
            <w:tcW w:w="3222" w:type="dxa"/>
            <w:tcBorders>
              <w:top w:val="none" w:sz="0" w:space="0" w:color="auto"/>
              <w:left w:val="none" w:sz="0" w:space="0" w:color="auto"/>
              <w:bottom w:val="none" w:sz="0" w:space="0" w:color="auto"/>
              <w:right w:val="none" w:sz="0" w:space="0" w:color="auto"/>
            </w:tcBorders>
            <w:shd w:val="clear" w:color="auto" w:fill="25408F"/>
            <w:vAlign w:val="bottom"/>
          </w:tcPr>
          <w:p w14:paraId="508F16E7" w14:textId="15658396" w:rsidR="00C714AA" w:rsidRPr="00153088" w:rsidRDefault="001B094D" w:rsidP="001B094D">
            <w:pPr>
              <w:pStyle w:val="TT-TableHeading"/>
              <w:cnfStyle w:val="100000000000" w:firstRow="1" w:lastRow="0" w:firstColumn="0" w:lastColumn="0" w:oddVBand="0" w:evenVBand="0" w:oddHBand="0" w:evenHBand="0" w:firstRowFirstColumn="0" w:firstRowLastColumn="0" w:lastRowFirstColumn="0" w:lastRowLastColumn="0"/>
              <w:rPr>
                <w:bCs/>
              </w:rPr>
            </w:pPr>
            <w:r w:rsidRPr="00153088">
              <w:t>Areas of debate</w:t>
            </w:r>
          </w:p>
        </w:tc>
        <w:tc>
          <w:tcPr>
            <w:tcW w:w="1547" w:type="dxa"/>
            <w:tcBorders>
              <w:top w:val="none" w:sz="0" w:space="0" w:color="auto"/>
              <w:left w:val="none" w:sz="0" w:space="0" w:color="auto"/>
              <w:bottom w:val="none" w:sz="0" w:space="0" w:color="auto"/>
              <w:right w:val="none" w:sz="0" w:space="0" w:color="auto"/>
            </w:tcBorders>
            <w:shd w:val="clear" w:color="auto" w:fill="25408F"/>
            <w:vAlign w:val="bottom"/>
          </w:tcPr>
          <w:p w14:paraId="1C6E76E2" w14:textId="2BB8E844" w:rsidR="00C714AA" w:rsidRPr="00153088" w:rsidRDefault="001B094D" w:rsidP="001B094D">
            <w:pPr>
              <w:pStyle w:val="TT-TableHeading"/>
              <w:cnfStyle w:val="100000000000" w:firstRow="1" w:lastRow="0" w:firstColumn="0" w:lastColumn="0" w:oddVBand="0" w:evenVBand="0" w:oddHBand="0" w:evenHBand="0" w:firstRowFirstColumn="0" w:firstRowLastColumn="0" w:lastRowFirstColumn="0" w:lastRowLastColumn="0"/>
              <w:rPr>
                <w:bCs/>
              </w:rPr>
            </w:pPr>
            <w:r w:rsidRPr="00153088">
              <w:t xml:space="preserve">Would this require legislation or rulemaking? If so, what? </w:t>
            </w:r>
          </w:p>
        </w:tc>
        <w:tc>
          <w:tcPr>
            <w:tcW w:w="1351" w:type="dxa"/>
            <w:tcBorders>
              <w:top w:val="none" w:sz="0" w:space="0" w:color="auto"/>
              <w:left w:val="none" w:sz="0" w:space="0" w:color="auto"/>
              <w:bottom w:val="none" w:sz="0" w:space="0" w:color="auto"/>
              <w:right w:val="none" w:sz="0" w:space="0" w:color="auto"/>
            </w:tcBorders>
            <w:shd w:val="clear" w:color="auto" w:fill="25408F"/>
            <w:vAlign w:val="bottom"/>
          </w:tcPr>
          <w:p w14:paraId="54D38335" w14:textId="77777777" w:rsidR="00C714AA" w:rsidRPr="00153088" w:rsidRDefault="00C714AA" w:rsidP="001B094D">
            <w:pPr>
              <w:pStyle w:val="TT-TableHeading"/>
              <w:cnfStyle w:val="100000000000" w:firstRow="1" w:lastRow="0" w:firstColumn="0" w:lastColumn="0" w:oddVBand="0" w:evenVBand="0" w:oddHBand="0" w:evenHBand="0" w:firstRowFirstColumn="0" w:firstRowLastColumn="0" w:lastRowFirstColumn="0" w:lastRowLastColumn="0"/>
            </w:pPr>
            <w:r w:rsidRPr="00153088">
              <w:t>Could another process address?</w:t>
            </w:r>
          </w:p>
        </w:tc>
      </w:tr>
      <w:tr w:rsidR="00C714AA" w:rsidRPr="007666F4" w14:paraId="2B95DEFD" w14:textId="77777777" w:rsidTr="001B094D">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728" w:type="dxa"/>
          </w:tcPr>
          <w:p w14:paraId="08B3CB6F" w14:textId="77777777" w:rsidR="00C714AA" w:rsidRPr="00153088" w:rsidRDefault="00C714AA">
            <w:pPr>
              <w:rPr>
                <w:sz w:val="20"/>
                <w:szCs w:val="20"/>
              </w:rPr>
            </w:pPr>
            <w:r w:rsidRPr="00153088">
              <w:rPr>
                <w:sz w:val="20"/>
                <w:szCs w:val="20"/>
              </w:rPr>
              <w:t>Issue 1: Performance Bonus Need</w:t>
            </w:r>
          </w:p>
        </w:tc>
        <w:tc>
          <w:tcPr>
            <w:tcW w:w="2227" w:type="dxa"/>
          </w:tcPr>
          <w:p w14:paraId="74901E9D"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rPr>
              <w:t>Stakeholders voiced there is a need for performance bonuses.</w:t>
            </w:r>
          </w:p>
          <w:p w14:paraId="2E4B6A96" w14:textId="63014649"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p>
        </w:tc>
        <w:tc>
          <w:tcPr>
            <w:tcW w:w="3222" w:type="dxa"/>
          </w:tcPr>
          <w:p w14:paraId="1E44B60A"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u w:val="single"/>
              </w:rPr>
              <w:t xml:space="preserve">Perspective 1: </w:t>
            </w:r>
            <w:r w:rsidRPr="00153088">
              <w:rPr>
                <w:sz w:val="20"/>
                <w:szCs w:val="20"/>
              </w:rPr>
              <w:t>Reviewing the min/max of the performance bonus to ensure it is appropriate and that it promotes energy efficiency in Texas.</w:t>
            </w:r>
          </w:p>
          <w:p w14:paraId="55FC4FBC" w14:textId="750C1020"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u w:val="single"/>
              </w:rPr>
              <w:t>Perspective 2:</w:t>
            </w:r>
            <w:r w:rsidRPr="00153088">
              <w:rPr>
                <w:sz w:val="20"/>
                <w:szCs w:val="20"/>
              </w:rPr>
              <w:t xml:space="preserve"> The Performance Bonus is a "thank you" that does not entirely make the </w:t>
            </w:r>
            <w:r w:rsidR="00E07B39">
              <w:rPr>
                <w:sz w:val="20"/>
                <w:szCs w:val="20"/>
              </w:rPr>
              <w:t>IOUs</w:t>
            </w:r>
            <w:r w:rsidRPr="00153088">
              <w:rPr>
                <w:sz w:val="20"/>
                <w:szCs w:val="20"/>
              </w:rPr>
              <w:t xml:space="preserve"> whole. Utility as a whole do lose money on EE programs; it's a balance because they answer to investors. Performance bonuses are very much needed.</w:t>
            </w:r>
          </w:p>
          <w:p w14:paraId="4D18E50E"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u w:val="single"/>
              </w:rPr>
              <w:t>Perspective 3:</w:t>
            </w:r>
            <w:r w:rsidRPr="00153088">
              <w:rPr>
                <w:sz w:val="20"/>
                <w:szCs w:val="20"/>
              </w:rPr>
              <w:t xml:space="preserve"> Performance bonuses must be reviewed with the same rigor as good rate-making. Making sure they are just and reasonable and lead to the desired outcome. Reviewing to ensure the bonus does not cannibalize good programs in future years is important.</w:t>
            </w:r>
          </w:p>
          <w:p w14:paraId="6CEA83F9"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u w:val="single"/>
              </w:rPr>
              <w:t xml:space="preserve">Perspective 4: </w:t>
            </w:r>
            <w:r w:rsidRPr="00153088">
              <w:rPr>
                <w:sz w:val="20"/>
                <w:szCs w:val="20"/>
              </w:rPr>
              <w:t>Performance bonuses are a way to encourage utilities to exceed their goals and maximize net benefits while remaining under the cost caps.</w:t>
            </w:r>
          </w:p>
        </w:tc>
        <w:tc>
          <w:tcPr>
            <w:tcW w:w="1547" w:type="dxa"/>
          </w:tcPr>
          <w:p w14:paraId="7BD5DB85" w14:textId="510C1097" w:rsidR="00C714AA" w:rsidRPr="007666F4" w:rsidRDefault="00C714AA">
            <w:pPr>
              <w:cnfStyle w:val="000000100000" w:firstRow="0" w:lastRow="0" w:firstColumn="0" w:lastColumn="0" w:oddVBand="0" w:evenVBand="0" w:oddHBand="1" w:evenHBand="0" w:firstRowFirstColumn="0" w:firstRowLastColumn="0" w:lastRowFirstColumn="0" w:lastRowLastColumn="0"/>
              <w:rPr>
                <w:sz w:val="20"/>
                <w:szCs w:val="20"/>
                <w:lang w:val="es-MX"/>
              </w:rPr>
            </w:pPr>
            <w:r w:rsidRPr="007666F4">
              <w:rPr>
                <w:sz w:val="20"/>
                <w:szCs w:val="20"/>
                <w:lang w:val="es-MX"/>
              </w:rPr>
              <w:t>PURA</w:t>
            </w:r>
            <w:r w:rsidR="007666F4">
              <w:rPr>
                <w:sz w:val="20"/>
                <w:szCs w:val="20"/>
                <w:lang w:val="es-MX"/>
              </w:rPr>
              <w:t xml:space="preserve"> </w:t>
            </w:r>
            <w:r w:rsidRPr="007666F4">
              <w:rPr>
                <w:sz w:val="20"/>
                <w:szCs w:val="20"/>
                <w:lang w:val="es-MX"/>
              </w:rPr>
              <w:t>39.905 (b)(2)</w:t>
            </w:r>
          </w:p>
          <w:p w14:paraId="585A1339" w14:textId="79942E95" w:rsidR="00C714AA" w:rsidRPr="007666F4" w:rsidRDefault="00781F2B">
            <w:pPr>
              <w:cnfStyle w:val="000000100000" w:firstRow="0" w:lastRow="0" w:firstColumn="0" w:lastColumn="0" w:oddVBand="0" w:evenVBand="0" w:oddHBand="1" w:evenHBand="0" w:firstRowFirstColumn="0" w:firstRowLastColumn="0" w:lastRowFirstColumn="0" w:lastRowLastColumn="0"/>
              <w:rPr>
                <w:sz w:val="20"/>
                <w:szCs w:val="20"/>
                <w:lang w:val="es-MX"/>
              </w:rPr>
            </w:pPr>
            <w:r w:rsidRPr="007666F4">
              <w:rPr>
                <w:sz w:val="20"/>
                <w:szCs w:val="20"/>
                <w:lang w:val="es-MX"/>
              </w:rPr>
              <w:t xml:space="preserve">16 TAC §25.182 </w:t>
            </w:r>
            <w:r w:rsidR="00C714AA" w:rsidRPr="007666F4">
              <w:rPr>
                <w:sz w:val="20"/>
                <w:szCs w:val="20"/>
                <w:lang w:val="es-MX"/>
              </w:rPr>
              <w:t>(e)</w:t>
            </w:r>
          </w:p>
        </w:tc>
        <w:tc>
          <w:tcPr>
            <w:tcW w:w="1351" w:type="dxa"/>
          </w:tcPr>
          <w:p w14:paraId="12A052D1" w14:textId="77777777" w:rsidR="00C714AA" w:rsidRPr="007666F4" w:rsidRDefault="00C714AA">
            <w:pPr>
              <w:cnfStyle w:val="000000100000" w:firstRow="0" w:lastRow="0" w:firstColumn="0" w:lastColumn="0" w:oddVBand="0" w:evenVBand="0" w:oddHBand="1" w:evenHBand="0" w:firstRowFirstColumn="0" w:firstRowLastColumn="0" w:lastRowFirstColumn="0" w:lastRowLastColumn="0"/>
              <w:rPr>
                <w:sz w:val="20"/>
                <w:szCs w:val="20"/>
                <w:lang w:val="es-MX"/>
              </w:rPr>
            </w:pPr>
          </w:p>
        </w:tc>
      </w:tr>
      <w:tr w:rsidR="00C714AA" w:rsidRPr="00153088" w14:paraId="10661FC0" w14:textId="77777777" w:rsidTr="001B094D">
        <w:trPr>
          <w:trHeight w:val="253"/>
        </w:trPr>
        <w:tc>
          <w:tcPr>
            <w:cnfStyle w:val="001000000000" w:firstRow="0" w:lastRow="0" w:firstColumn="1" w:lastColumn="0" w:oddVBand="0" w:evenVBand="0" w:oddHBand="0" w:evenHBand="0" w:firstRowFirstColumn="0" w:firstRowLastColumn="0" w:lastRowFirstColumn="0" w:lastRowLastColumn="0"/>
            <w:tcW w:w="1728" w:type="dxa"/>
          </w:tcPr>
          <w:p w14:paraId="2F985931" w14:textId="77777777" w:rsidR="00C714AA" w:rsidRPr="00153088" w:rsidRDefault="00C714AA" w:rsidP="001B094D">
            <w:pPr>
              <w:keepNext/>
              <w:keepLines/>
              <w:rPr>
                <w:sz w:val="20"/>
                <w:szCs w:val="20"/>
              </w:rPr>
            </w:pPr>
            <w:r w:rsidRPr="00153088">
              <w:rPr>
                <w:sz w:val="20"/>
                <w:szCs w:val="20"/>
              </w:rPr>
              <w:t>Issue 2: Modifications to Existing Calculation</w:t>
            </w:r>
          </w:p>
        </w:tc>
        <w:tc>
          <w:tcPr>
            <w:tcW w:w="2227" w:type="dxa"/>
          </w:tcPr>
          <w:p w14:paraId="02A27902" w14:textId="77777777" w:rsidR="00C714AA" w:rsidRPr="00153088" w:rsidRDefault="00C714AA"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153088">
              <w:rPr>
                <w:sz w:val="20"/>
                <w:szCs w:val="20"/>
              </w:rPr>
              <w:t>Stakeholders voice the need to understand the correlation in changing avoided costs or cost-effectiveness structure will impact the performance bonuses.</w:t>
            </w:r>
          </w:p>
          <w:p w14:paraId="27240F8B" w14:textId="77777777" w:rsidR="00C714AA" w:rsidRPr="00153088" w:rsidRDefault="00C714AA"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153088">
              <w:rPr>
                <w:sz w:val="20"/>
                <w:szCs w:val="20"/>
              </w:rPr>
              <w:t>The bonus collected during the program year is applied to cost-effectiveness, and the bonus calculation is allocated to each program based on a percentage of total program spending. In other words, programs that have a larger budget receive a larger portion of the bonus applied to that program.</w:t>
            </w:r>
          </w:p>
          <w:p w14:paraId="2D750EE7" w14:textId="77777777" w:rsidR="00C714AA" w:rsidRPr="00153088" w:rsidRDefault="00C714AA"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c>
          <w:tcPr>
            <w:tcW w:w="3222" w:type="dxa"/>
          </w:tcPr>
          <w:p w14:paraId="7EC991BA" w14:textId="77777777" w:rsidR="00C714AA" w:rsidRPr="00153088" w:rsidRDefault="00C714AA"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153088">
              <w:rPr>
                <w:sz w:val="20"/>
                <w:szCs w:val="20"/>
                <w:u w:val="single"/>
              </w:rPr>
              <w:t xml:space="preserve">Perspective 1: </w:t>
            </w:r>
            <w:r w:rsidRPr="00153088">
              <w:rPr>
                <w:sz w:val="20"/>
                <w:szCs w:val="20"/>
              </w:rPr>
              <w:t xml:space="preserve">Keeping the calculation related to Net Benefits rather than tying it to a percentage of spend keeps the bonus based on performance. </w:t>
            </w:r>
          </w:p>
          <w:p w14:paraId="120F007A" w14:textId="02C90D16" w:rsidR="00C714AA" w:rsidRPr="00153088" w:rsidRDefault="00C714AA"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r w:rsidRPr="00153088">
              <w:rPr>
                <w:sz w:val="20"/>
                <w:szCs w:val="20"/>
                <w:u w:val="single"/>
              </w:rPr>
              <w:t>Perspective 2:</w:t>
            </w:r>
            <w:r w:rsidRPr="00153088">
              <w:rPr>
                <w:sz w:val="20"/>
                <w:szCs w:val="20"/>
              </w:rPr>
              <w:t xml:space="preserve"> Incorporating the performance bonus as a program cost ultimately hurts the </w:t>
            </w:r>
            <w:r w:rsidR="00E07B39">
              <w:rPr>
                <w:sz w:val="20"/>
                <w:szCs w:val="20"/>
              </w:rPr>
              <w:t>IOU</w:t>
            </w:r>
            <w:r w:rsidRPr="00153088">
              <w:rPr>
                <w:sz w:val="20"/>
                <w:szCs w:val="20"/>
              </w:rPr>
              <w:t>s in the long term and the benefit these programs can offer to customers.</w:t>
            </w:r>
          </w:p>
          <w:p w14:paraId="64920B01" w14:textId="77777777" w:rsidR="00C714AA" w:rsidRPr="00153088" w:rsidRDefault="00C714AA"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c>
          <w:tcPr>
            <w:tcW w:w="1547" w:type="dxa"/>
          </w:tcPr>
          <w:p w14:paraId="51BD1887" w14:textId="78D1CB22" w:rsidR="00C714AA" w:rsidRPr="00153088" w:rsidRDefault="007666F4"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16 TAC §25.182</w:t>
            </w:r>
            <w:r w:rsidRPr="00153088">
              <w:rPr>
                <w:sz w:val="20"/>
                <w:szCs w:val="20"/>
              </w:rPr>
              <w:t xml:space="preserve"> </w:t>
            </w:r>
            <w:r w:rsidR="00C714AA" w:rsidRPr="00153088">
              <w:rPr>
                <w:sz w:val="20"/>
                <w:szCs w:val="20"/>
              </w:rPr>
              <w:t>(e)(5)</w:t>
            </w:r>
          </w:p>
        </w:tc>
        <w:tc>
          <w:tcPr>
            <w:tcW w:w="1351" w:type="dxa"/>
          </w:tcPr>
          <w:p w14:paraId="5E62D3D9" w14:textId="77777777" w:rsidR="00C714AA" w:rsidRPr="00153088" w:rsidRDefault="00C714AA" w:rsidP="001B094D">
            <w:pPr>
              <w:keepNext/>
              <w:keepLines/>
              <w:cnfStyle w:val="000000000000" w:firstRow="0" w:lastRow="0" w:firstColumn="0" w:lastColumn="0" w:oddVBand="0" w:evenVBand="0" w:oddHBand="0" w:evenHBand="0" w:firstRowFirstColumn="0" w:firstRowLastColumn="0" w:lastRowFirstColumn="0" w:lastRowLastColumn="0"/>
              <w:rPr>
                <w:sz w:val="20"/>
                <w:szCs w:val="20"/>
              </w:rPr>
            </w:pPr>
          </w:p>
        </w:tc>
      </w:tr>
      <w:tr w:rsidR="001B094D" w:rsidRPr="00153088" w14:paraId="12C566BC" w14:textId="77777777" w:rsidTr="001B094D">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728" w:type="dxa"/>
            <w:shd w:val="clear" w:color="auto" w:fill="25408F"/>
            <w:vAlign w:val="bottom"/>
          </w:tcPr>
          <w:p w14:paraId="01E8ECCE" w14:textId="2B1F99F6" w:rsidR="001B094D" w:rsidRPr="00153088" w:rsidRDefault="001B094D" w:rsidP="001B094D">
            <w:pPr>
              <w:pStyle w:val="TT-TableHeading"/>
            </w:pPr>
            <w:r w:rsidRPr="00153088">
              <w:t>Key issue</w:t>
            </w:r>
          </w:p>
        </w:tc>
        <w:tc>
          <w:tcPr>
            <w:tcW w:w="2227" w:type="dxa"/>
            <w:shd w:val="clear" w:color="auto" w:fill="25408F"/>
            <w:vAlign w:val="bottom"/>
          </w:tcPr>
          <w:p w14:paraId="5FD14DC9" w14:textId="76622B89" w:rsidR="001B094D" w:rsidRPr="00153088"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153088">
              <w:t>Areas of agreement</w:t>
            </w:r>
          </w:p>
        </w:tc>
        <w:tc>
          <w:tcPr>
            <w:tcW w:w="3222" w:type="dxa"/>
            <w:shd w:val="clear" w:color="auto" w:fill="25408F"/>
            <w:vAlign w:val="bottom"/>
          </w:tcPr>
          <w:p w14:paraId="7BA205A3" w14:textId="2F2D1750" w:rsidR="001B094D" w:rsidRPr="00153088" w:rsidRDefault="001B094D" w:rsidP="001B094D">
            <w:pPr>
              <w:pStyle w:val="TT-TableHeading"/>
              <w:cnfStyle w:val="000000100000" w:firstRow="0" w:lastRow="0" w:firstColumn="0" w:lastColumn="0" w:oddVBand="0" w:evenVBand="0" w:oddHBand="1" w:evenHBand="0" w:firstRowFirstColumn="0" w:firstRowLastColumn="0" w:lastRowFirstColumn="0" w:lastRowLastColumn="0"/>
              <w:rPr>
                <w:u w:val="single"/>
              </w:rPr>
            </w:pPr>
            <w:r w:rsidRPr="00153088">
              <w:t>Areas of debate</w:t>
            </w:r>
          </w:p>
        </w:tc>
        <w:tc>
          <w:tcPr>
            <w:tcW w:w="1547" w:type="dxa"/>
            <w:shd w:val="clear" w:color="auto" w:fill="25408F"/>
            <w:vAlign w:val="bottom"/>
          </w:tcPr>
          <w:p w14:paraId="11BF4B75" w14:textId="6FE42B4E" w:rsidR="001B094D"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153088">
              <w:t xml:space="preserve">Would this require legislation or rulemaking? If so, what? </w:t>
            </w:r>
          </w:p>
        </w:tc>
        <w:tc>
          <w:tcPr>
            <w:tcW w:w="1351" w:type="dxa"/>
            <w:shd w:val="clear" w:color="auto" w:fill="25408F"/>
            <w:vAlign w:val="bottom"/>
          </w:tcPr>
          <w:p w14:paraId="72BE8A1D" w14:textId="1F5E47F9" w:rsidR="001B094D" w:rsidRPr="00153088" w:rsidRDefault="001B094D" w:rsidP="001B094D">
            <w:pPr>
              <w:pStyle w:val="TT-TableHeading"/>
              <w:cnfStyle w:val="000000100000" w:firstRow="0" w:lastRow="0" w:firstColumn="0" w:lastColumn="0" w:oddVBand="0" w:evenVBand="0" w:oddHBand="1" w:evenHBand="0" w:firstRowFirstColumn="0" w:firstRowLastColumn="0" w:lastRowFirstColumn="0" w:lastRowLastColumn="0"/>
            </w:pPr>
            <w:r w:rsidRPr="00153088">
              <w:t>Could another process address?</w:t>
            </w:r>
          </w:p>
        </w:tc>
      </w:tr>
      <w:tr w:rsidR="001B094D" w:rsidRPr="00153088" w14:paraId="1317A68E" w14:textId="77777777" w:rsidTr="001B094D">
        <w:trPr>
          <w:trHeight w:val="253"/>
        </w:trPr>
        <w:tc>
          <w:tcPr>
            <w:cnfStyle w:val="001000000000" w:firstRow="0" w:lastRow="0" w:firstColumn="1" w:lastColumn="0" w:oddVBand="0" w:evenVBand="0" w:oddHBand="0" w:evenHBand="0" w:firstRowFirstColumn="0" w:firstRowLastColumn="0" w:lastRowFirstColumn="0" w:lastRowLastColumn="0"/>
            <w:tcW w:w="1728" w:type="dxa"/>
            <w:shd w:val="clear" w:color="auto" w:fill="DAEEF3" w:themeFill="accent5" w:themeFillTint="33"/>
          </w:tcPr>
          <w:p w14:paraId="38DCBC27" w14:textId="77777777" w:rsidR="00C714AA" w:rsidRPr="00153088" w:rsidRDefault="00C714AA">
            <w:pPr>
              <w:rPr>
                <w:sz w:val="20"/>
                <w:szCs w:val="20"/>
              </w:rPr>
            </w:pPr>
            <w:r w:rsidRPr="00153088">
              <w:rPr>
                <w:sz w:val="20"/>
                <w:szCs w:val="20"/>
              </w:rPr>
              <w:t>Issue 3: Performance Bonus Best Practices</w:t>
            </w:r>
          </w:p>
        </w:tc>
        <w:tc>
          <w:tcPr>
            <w:tcW w:w="2227" w:type="dxa"/>
            <w:shd w:val="clear" w:color="auto" w:fill="DAEEF3" w:themeFill="accent5" w:themeFillTint="33"/>
          </w:tcPr>
          <w:p w14:paraId="072AEEE0" w14:textId="77777777" w:rsidR="00C714AA" w:rsidRPr="00153088" w:rsidRDefault="00C714AA">
            <w:pPr>
              <w:cnfStyle w:val="000000000000" w:firstRow="0" w:lastRow="0" w:firstColumn="0" w:lastColumn="0" w:oddVBand="0" w:evenVBand="0" w:oddHBand="0" w:evenHBand="0" w:firstRowFirstColumn="0" w:firstRowLastColumn="0" w:lastRowFirstColumn="0" w:lastRowLastColumn="0"/>
              <w:rPr>
                <w:sz w:val="20"/>
                <w:szCs w:val="20"/>
              </w:rPr>
            </w:pPr>
            <w:r w:rsidRPr="00153088">
              <w:rPr>
                <w:sz w:val="20"/>
                <w:szCs w:val="20"/>
              </w:rPr>
              <w:t>Stakeholders agreed that the performance bonus model is pretty good; however, it should be reviewed to determine if it should be incorporated into future program costs.</w:t>
            </w:r>
          </w:p>
          <w:p w14:paraId="3E0BE888" w14:textId="77777777" w:rsidR="00C714AA" w:rsidRPr="00153088" w:rsidRDefault="00C714AA">
            <w:pPr>
              <w:cnfStyle w:val="000000000000" w:firstRow="0" w:lastRow="0" w:firstColumn="0" w:lastColumn="0" w:oddVBand="0" w:evenVBand="0" w:oddHBand="0" w:evenHBand="0" w:firstRowFirstColumn="0" w:firstRowLastColumn="0" w:lastRowFirstColumn="0" w:lastRowLastColumn="0"/>
              <w:rPr>
                <w:sz w:val="20"/>
                <w:szCs w:val="20"/>
              </w:rPr>
            </w:pPr>
            <w:r w:rsidRPr="00153088">
              <w:rPr>
                <w:sz w:val="20"/>
                <w:szCs w:val="20"/>
              </w:rPr>
              <w:t>Stakeholders also agreed more research is needed to look at cost recovery best practices in other regions.</w:t>
            </w:r>
          </w:p>
        </w:tc>
        <w:tc>
          <w:tcPr>
            <w:tcW w:w="3222" w:type="dxa"/>
            <w:shd w:val="clear" w:color="auto" w:fill="DAEEF3" w:themeFill="accent5" w:themeFillTint="33"/>
          </w:tcPr>
          <w:p w14:paraId="69E478AE" w14:textId="6A3639BF" w:rsidR="00C714AA" w:rsidRPr="00153088" w:rsidRDefault="00C714AA">
            <w:pPr>
              <w:cnfStyle w:val="000000000000" w:firstRow="0" w:lastRow="0" w:firstColumn="0" w:lastColumn="0" w:oddVBand="0" w:evenVBand="0" w:oddHBand="0" w:evenHBand="0" w:firstRowFirstColumn="0" w:firstRowLastColumn="0" w:lastRowFirstColumn="0" w:lastRowLastColumn="0"/>
              <w:rPr>
                <w:sz w:val="20"/>
                <w:szCs w:val="20"/>
              </w:rPr>
            </w:pPr>
            <w:r w:rsidRPr="00153088">
              <w:rPr>
                <w:sz w:val="20"/>
                <w:szCs w:val="20"/>
                <w:u w:val="single"/>
              </w:rPr>
              <w:t>Perspective 1:</w:t>
            </w:r>
            <w:r w:rsidRPr="00153088">
              <w:rPr>
                <w:sz w:val="20"/>
                <w:szCs w:val="20"/>
              </w:rPr>
              <w:t xml:space="preserve"> The optics of performance bonuses in the media can be challenging and detrimental to the programs. (</w:t>
            </w:r>
            <w:r w:rsidR="00387C0A" w:rsidRPr="00153088">
              <w:rPr>
                <w:sz w:val="20"/>
                <w:szCs w:val="20"/>
              </w:rPr>
              <w:t>i.e.</w:t>
            </w:r>
            <w:r w:rsidR="00387C0A" w:rsidRPr="00153088">
              <w:rPr>
                <w:sz w:val="20"/>
              </w:rPr>
              <w:t>,</w:t>
            </w:r>
            <w:r w:rsidRPr="00153088">
              <w:rPr>
                <w:sz w:val="20"/>
                <w:szCs w:val="20"/>
              </w:rPr>
              <w:t xml:space="preserve"> x amount of the program budget was a performance bonus).</w:t>
            </w:r>
          </w:p>
          <w:p w14:paraId="195DC9C2" w14:textId="77777777" w:rsidR="00C714AA" w:rsidRPr="00153088" w:rsidRDefault="00C714AA">
            <w:pPr>
              <w:cnfStyle w:val="000000000000" w:firstRow="0" w:lastRow="0" w:firstColumn="0" w:lastColumn="0" w:oddVBand="0" w:evenVBand="0" w:oddHBand="0" w:evenHBand="0" w:firstRowFirstColumn="0" w:firstRowLastColumn="0" w:lastRowFirstColumn="0" w:lastRowLastColumn="0"/>
              <w:rPr>
                <w:sz w:val="20"/>
                <w:szCs w:val="20"/>
              </w:rPr>
            </w:pPr>
            <w:r w:rsidRPr="00153088">
              <w:rPr>
                <w:sz w:val="20"/>
                <w:szCs w:val="20"/>
                <w:u w:val="single"/>
              </w:rPr>
              <w:t xml:space="preserve">Perspective 2: </w:t>
            </w:r>
            <w:r w:rsidRPr="00153088">
              <w:rPr>
                <w:sz w:val="20"/>
                <w:szCs w:val="20"/>
              </w:rPr>
              <w:t>Other regions in the US use a lost revenue adjustment mechanism to recover lost sales.</w:t>
            </w:r>
          </w:p>
          <w:p w14:paraId="6D0D246A" w14:textId="3CA3A48F" w:rsidR="00C714AA" w:rsidRPr="00153088" w:rsidRDefault="00C714AA" w:rsidP="00D1547A">
            <w:pPr>
              <w:cnfStyle w:val="000000000000" w:firstRow="0" w:lastRow="0" w:firstColumn="0" w:lastColumn="0" w:oddVBand="0" w:evenVBand="0" w:oddHBand="0" w:evenHBand="0" w:firstRowFirstColumn="0" w:firstRowLastColumn="0" w:lastRowFirstColumn="0" w:lastRowLastColumn="0"/>
              <w:rPr>
                <w:sz w:val="20"/>
                <w:szCs w:val="20"/>
              </w:rPr>
            </w:pPr>
            <w:r w:rsidRPr="00153088">
              <w:rPr>
                <w:sz w:val="20"/>
                <w:szCs w:val="20"/>
                <w:u w:val="single"/>
              </w:rPr>
              <w:t xml:space="preserve">Perspective 3: </w:t>
            </w:r>
            <w:r w:rsidRPr="00153088">
              <w:rPr>
                <w:sz w:val="20"/>
                <w:szCs w:val="20"/>
              </w:rPr>
              <w:t>Cost Caps for IOUs in Texas are low based on other utilities (</w:t>
            </w:r>
            <w:r w:rsidR="00387C0A" w:rsidRPr="00153088">
              <w:rPr>
                <w:sz w:val="20"/>
                <w:szCs w:val="20"/>
              </w:rPr>
              <w:t>i.e.</w:t>
            </w:r>
            <w:r w:rsidR="00387C0A" w:rsidRPr="00153088">
              <w:rPr>
                <w:sz w:val="20"/>
              </w:rPr>
              <w:t>,</w:t>
            </w:r>
            <w:r w:rsidRPr="00153088">
              <w:rPr>
                <w:sz w:val="20"/>
                <w:szCs w:val="20"/>
              </w:rPr>
              <w:t xml:space="preserve"> CPS Energy in San Antonio has a cost recovery mechanism nearly double what the IOUs receive). </w:t>
            </w:r>
          </w:p>
        </w:tc>
        <w:tc>
          <w:tcPr>
            <w:tcW w:w="1547" w:type="dxa"/>
            <w:shd w:val="clear" w:color="auto" w:fill="DAEEF3" w:themeFill="accent5" w:themeFillTint="33"/>
          </w:tcPr>
          <w:p w14:paraId="2C3AE58E" w14:textId="77777777" w:rsidR="00C714AA" w:rsidRPr="00153088" w:rsidRDefault="00C714AA">
            <w:pPr>
              <w:cnfStyle w:val="000000000000" w:firstRow="0" w:lastRow="0" w:firstColumn="0" w:lastColumn="0" w:oddVBand="0" w:evenVBand="0" w:oddHBand="0" w:evenHBand="0" w:firstRowFirstColumn="0" w:firstRowLastColumn="0" w:lastRowFirstColumn="0" w:lastRowLastColumn="0"/>
              <w:rPr>
                <w:sz w:val="20"/>
                <w:szCs w:val="20"/>
              </w:rPr>
            </w:pPr>
          </w:p>
        </w:tc>
        <w:tc>
          <w:tcPr>
            <w:tcW w:w="1351" w:type="dxa"/>
            <w:shd w:val="clear" w:color="auto" w:fill="DAEEF3" w:themeFill="accent5" w:themeFillTint="33"/>
          </w:tcPr>
          <w:p w14:paraId="6A85338D" w14:textId="77777777" w:rsidR="00C714AA" w:rsidRPr="00153088" w:rsidRDefault="00C714AA">
            <w:pPr>
              <w:cnfStyle w:val="000000000000" w:firstRow="0" w:lastRow="0" w:firstColumn="0" w:lastColumn="0" w:oddVBand="0" w:evenVBand="0" w:oddHBand="0" w:evenHBand="0" w:firstRowFirstColumn="0" w:firstRowLastColumn="0" w:lastRowFirstColumn="0" w:lastRowLastColumn="0"/>
              <w:rPr>
                <w:sz w:val="20"/>
                <w:szCs w:val="20"/>
              </w:rPr>
            </w:pPr>
          </w:p>
        </w:tc>
      </w:tr>
      <w:tr w:rsidR="001B094D" w:rsidRPr="00153088" w14:paraId="45DA3808" w14:textId="77777777" w:rsidTr="001B094D">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728" w:type="dxa"/>
            <w:shd w:val="clear" w:color="auto" w:fill="auto"/>
          </w:tcPr>
          <w:p w14:paraId="0D5D5282" w14:textId="77777777" w:rsidR="00C714AA" w:rsidRPr="00153088" w:rsidRDefault="00C714AA">
            <w:pPr>
              <w:rPr>
                <w:sz w:val="20"/>
                <w:szCs w:val="20"/>
              </w:rPr>
            </w:pPr>
            <w:r w:rsidRPr="00153088">
              <w:rPr>
                <w:sz w:val="20"/>
                <w:szCs w:val="20"/>
              </w:rPr>
              <w:t>Issue 4: Delivery Model</w:t>
            </w:r>
          </w:p>
        </w:tc>
        <w:tc>
          <w:tcPr>
            <w:tcW w:w="2227" w:type="dxa"/>
            <w:shd w:val="clear" w:color="auto" w:fill="auto"/>
          </w:tcPr>
          <w:p w14:paraId="5032EC30"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p>
        </w:tc>
        <w:tc>
          <w:tcPr>
            <w:tcW w:w="3222" w:type="dxa"/>
            <w:shd w:val="clear" w:color="auto" w:fill="auto"/>
          </w:tcPr>
          <w:p w14:paraId="4C9BD8A9"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u w:val="single"/>
              </w:rPr>
              <w:t>Perspective 1</w:t>
            </w:r>
            <w:r w:rsidRPr="007D6381">
              <w:rPr>
                <w:sz w:val="20"/>
                <w:szCs w:val="20"/>
              </w:rPr>
              <w:t>: A program</w:t>
            </w:r>
            <w:r w:rsidRPr="00153088">
              <w:rPr>
                <w:sz w:val="20"/>
                <w:szCs w:val="20"/>
              </w:rPr>
              <w:t xml:space="preserve"> that works well in Houston may not work well in Dallas. Programs do tend to be regional to meet the needs of the customer.</w:t>
            </w:r>
          </w:p>
          <w:p w14:paraId="7F0C6540"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u w:val="single"/>
              </w:rPr>
              <w:t>Perspective 2:</w:t>
            </w:r>
            <w:r w:rsidRPr="00153088">
              <w:rPr>
                <w:sz w:val="20"/>
                <w:szCs w:val="20"/>
              </w:rPr>
              <w:t xml:space="preserve"> On the REP side, programs also vary with incentives paid to participate or pricing incentives. REP programs are a powerful retention tool and differentiator among competition.</w:t>
            </w:r>
          </w:p>
        </w:tc>
        <w:tc>
          <w:tcPr>
            <w:tcW w:w="1547" w:type="dxa"/>
            <w:shd w:val="clear" w:color="auto" w:fill="auto"/>
          </w:tcPr>
          <w:p w14:paraId="19954708" w14:textId="1F6656AA" w:rsidR="00C714AA" w:rsidRPr="00153088" w:rsidRDefault="004A570A">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C714AA" w:rsidRPr="00153088">
              <w:rPr>
                <w:sz w:val="20"/>
                <w:szCs w:val="20"/>
              </w:rPr>
              <w:t>(r)</w:t>
            </w:r>
          </w:p>
        </w:tc>
        <w:tc>
          <w:tcPr>
            <w:tcW w:w="1351" w:type="dxa"/>
            <w:shd w:val="clear" w:color="auto" w:fill="auto"/>
          </w:tcPr>
          <w:p w14:paraId="0ED2BE46"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p>
        </w:tc>
      </w:tr>
      <w:tr w:rsidR="001B094D" w:rsidRPr="00153088" w14:paraId="1C4EC11B" w14:textId="77777777" w:rsidTr="001B094D">
        <w:trPr>
          <w:trHeight w:val="253"/>
        </w:trPr>
        <w:tc>
          <w:tcPr>
            <w:cnfStyle w:val="001000000000" w:firstRow="0" w:lastRow="0" w:firstColumn="1" w:lastColumn="0" w:oddVBand="0" w:evenVBand="0" w:oddHBand="0" w:evenHBand="0" w:firstRowFirstColumn="0" w:firstRowLastColumn="0" w:lastRowFirstColumn="0" w:lastRowLastColumn="0"/>
            <w:tcW w:w="1728" w:type="dxa"/>
            <w:shd w:val="clear" w:color="auto" w:fill="25408F"/>
            <w:vAlign w:val="bottom"/>
          </w:tcPr>
          <w:p w14:paraId="563F3285" w14:textId="7036403B" w:rsidR="001B094D" w:rsidRPr="00153088" w:rsidRDefault="001B094D" w:rsidP="001B094D">
            <w:pPr>
              <w:pStyle w:val="TT-TableHeading"/>
            </w:pPr>
            <w:r w:rsidRPr="00153088">
              <w:t>Key issue</w:t>
            </w:r>
          </w:p>
        </w:tc>
        <w:tc>
          <w:tcPr>
            <w:tcW w:w="2227" w:type="dxa"/>
            <w:shd w:val="clear" w:color="auto" w:fill="25408F"/>
            <w:vAlign w:val="bottom"/>
          </w:tcPr>
          <w:p w14:paraId="51820809" w14:textId="6C4B043A" w:rsidR="001B094D" w:rsidRPr="00153088"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153088">
              <w:t>Areas of agreement</w:t>
            </w:r>
          </w:p>
        </w:tc>
        <w:tc>
          <w:tcPr>
            <w:tcW w:w="3222" w:type="dxa"/>
            <w:shd w:val="clear" w:color="auto" w:fill="25408F"/>
            <w:vAlign w:val="bottom"/>
          </w:tcPr>
          <w:p w14:paraId="047B1472" w14:textId="14EE1B63" w:rsidR="001B094D" w:rsidRPr="00153088" w:rsidRDefault="001B094D" w:rsidP="001B094D">
            <w:pPr>
              <w:pStyle w:val="TT-TableHeading"/>
              <w:cnfStyle w:val="000000000000" w:firstRow="0" w:lastRow="0" w:firstColumn="0" w:lastColumn="0" w:oddVBand="0" w:evenVBand="0" w:oddHBand="0" w:evenHBand="0" w:firstRowFirstColumn="0" w:firstRowLastColumn="0" w:lastRowFirstColumn="0" w:lastRowLastColumn="0"/>
              <w:rPr>
                <w:u w:val="single"/>
              </w:rPr>
            </w:pPr>
            <w:r w:rsidRPr="00153088">
              <w:t>Areas of debate</w:t>
            </w:r>
          </w:p>
        </w:tc>
        <w:tc>
          <w:tcPr>
            <w:tcW w:w="1547" w:type="dxa"/>
            <w:shd w:val="clear" w:color="auto" w:fill="25408F"/>
            <w:vAlign w:val="bottom"/>
          </w:tcPr>
          <w:p w14:paraId="00CBFE5C" w14:textId="0D9D5140" w:rsidR="001B094D"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153088">
              <w:t xml:space="preserve">Would this require legislation or rulemaking? If so, what? </w:t>
            </w:r>
          </w:p>
        </w:tc>
        <w:tc>
          <w:tcPr>
            <w:tcW w:w="1351" w:type="dxa"/>
            <w:shd w:val="clear" w:color="auto" w:fill="25408F"/>
            <w:vAlign w:val="bottom"/>
          </w:tcPr>
          <w:p w14:paraId="2CE9B197" w14:textId="6742C523" w:rsidR="001B094D" w:rsidRPr="00153088" w:rsidRDefault="001B094D" w:rsidP="001B094D">
            <w:pPr>
              <w:pStyle w:val="TT-TableHeading"/>
              <w:cnfStyle w:val="000000000000" w:firstRow="0" w:lastRow="0" w:firstColumn="0" w:lastColumn="0" w:oddVBand="0" w:evenVBand="0" w:oddHBand="0" w:evenHBand="0" w:firstRowFirstColumn="0" w:firstRowLastColumn="0" w:lastRowFirstColumn="0" w:lastRowLastColumn="0"/>
            </w:pPr>
            <w:r w:rsidRPr="00153088">
              <w:t>Could another process address?</w:t>
            </w:r>
          </w:p>
        </w:tc>
      </w:tr>
      <w:tr w:rsidR="001B094D" w:rsidRPr="00153088" w14:paraId="42694C4E" w14:textId="77777777" w:rsidTr="001B094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1728" w:type="dxa"/>
          </w:tcPr>
          <w:p w14:paraId="5FA45203" w14:textId="77777777" w:rsidR="00C714AA" w:rsidRPr="00153088" w:rsidRDefault="00C714AA">
            <w:pPr>
              <w:rPr>
                <w:sz w:val="20"/>
                <w:szCs w:val="20"/>
              </w:rPr>
            </w:pPr>
            <w:r w:rsidRPr="00153088">
              <w:rPr>
                <w:sz w:val="20"/>
                <w:szCs w:val="20"/>
              </w:rPr>
              <w:t>Issue 5: Collaboration and Communication Best Practices and Strategies</w:t>
            </w:r>
          </w:p>
        </w:tc>
        <w:tc>
          <w:tcPr>
            <w:tcW w:w="2227" w:type="dxa"/>
          </w:tcPr>
          <w:p w14:paraId="3DEB2564"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rPr>
              <w:t>REPs play a significant role in demand response, especially when the grid is stressed in Texas.</w:t>
            </w:r>
          </w:p>
          <w:p w14:paraId="67FF18A3" w14:textId="1B0C96F2"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rPr>
              <w:t>Utilities currently have a level of engagement with the REPs (i.</w:t>
            </w:r>
            <w:r w:rsidR="009F3807">
              <w:rPr>
                <w:sz w:val="20"/>
                <w:szCs w:val="20"/>
              </w:rPr>
              <w:t xml:space="preserve">e., </w:t>
            </w:r>
            <w:r w:rsidRPr="00153088">
              <w:rPr>
                <w:sz w:val="20"/>
                <w:szCs w:val="20"/>
              </w:rPr>
              <w:t>HVAC Tune-Up programs).</w:t>
            </w:r>
          </w:p>
        </w:tc>
        <w:tc>
          <w:tcPr>
            <w:tcW w:w="3222" w:type="dxa"/>
          </w:tcPr>
          <w:p w14:paraId="40611562"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u w:val="single"/>
              </w:rPr>
              <w:t>Perspective 1:</w:t>
            </w:r>
            <w:r w:rsidRPr="00153088">
              <w:rPr>
                <w:sz w:val="20"/>
                <w:szCs w:val="20"/>
              </w:rPr>
              <w:t xml:space="preserve"> Including REPs in the program design phase will help improve collaboration between REPs and TDUs.</w:t>
            </w:r>
          </w:p>
          <w:p w14:paraId="6F6B347F"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u w:val="single"/>
              </w:rPr>
              <w:t>Perspective 2:</w:t>
            </w:r>
            <w:r w:rsidRPr="00153088">
              <w:rPr>
                <w:sz w:val="20"/>
                <w:szCs w:val="20"/>
              </w:rPr>
              <w:t xml:space="preserve"> Adding Key Performance Indicators to track TDU/REP collaboration will promote engagement.</w:t>
            </w:r>
          </w:p>
          <w:p w14:paraId="1EB9CE30"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u w:val="single"/>
              </w:rPr>
              <w:t>Perspective 3:</w:t>
            </w:r>
            <w:r w:rsidRPr="00153088">
              <w:rPr>
                <w:sz w:val="20"/>
                <w:szCs w:val="20"/>
              </w:rPr>
              <w:t xml:space="preserve"> Better understanding of the problem and the goals (load shifting, energy efficiency, grid resiliency…) will help design programs and improve collaboration. It may require sculpting consumer behavior to solve Texas's issues, which REPs can provide intrinsic value.</w:t>
            </w:r>
          </w:p>
          <w:p w14:paraId="685C4516"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u w:val="single"/>
              </w:rPr>
              <w:t>Perspective 4:</w:t>
            </w:r>
            <w:r w:rsidRPr="00153088">
              <w:rPr>
                <w:sz w:val="20"/>
                <w:szCs w:val="20"/>
              </w:rPr>
              <w:t xml:space="preserve"> Many REPs with different business models make it challenging to find a program design that works for a large group of REPs. </w:t>
            </w:r>
          </w:p>
          <w:p w14:paraId="2F6DA587" w14:textId="16579DEF" w:rsidR="00C714AA" w:rsidRPr="00153088" w:rsidRDefault="00C714AA" w:rsidP="001B094D">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u w:val="single"/>
              </w:rPr>
              <w:t>Perspective 5:</w:t>
            </w:r>
            <w:r w:rsidRPr="00153088">
              <w:rPr>
                <w:sz w:val="20"/>
                <w:szCs w:val="20"/>
              </w:rPr>
              <w:t xml:space="preserve"> The EEIP process has been a good way to share communication and best practices. The mechanism is in place; it just needs to be leveraged by all stakeholders.</w:t>
            </w:r>
          </w:p>
        </w:tc>
        <w:tc>
          <w:tcPr>
            <w:tcW w:w="1547" w:type="dxa"/>
          </w:tcPr>
          <w:p w14:paraId="1C740536" w14:textId="341777D3" w:rsidR="00C714AA" w:rsidRPr="00153088" w:rsidRDefault="004A570A">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16 TAC §25.181</w:t>
            </w:r>
            <w:r w:rsidR="00C714AA" w:rsidRPr="00153088">
              <w:rPr>
                <w:sz w:val="20"/>
                <w:szCs w:val="20"/>
              </w:rPr>
              <w:t>(r)</w:t>
            </w:r>
          </w:p>
        </w:tc>
        <w:tc>
          <w:tcPr>
            <w:tcW w:w="1351" w:type="dxa"/>
          </w:tcPr>
          <w:p w14:paraId="29F8A1F0" w14:textId="77777777" w:rsidR="00C714AA" w:rsidRPr="00153088" w:rsidRDefault="00C714AA">
            <w:pPr>
              <w:cnfStyle w:val="000000100000" w:firstRow="0" w:lastRow="0" w:firstColumn="0" w:lastColumn="0" w:oddVBand="0" w:evenVBand="0" w:oddHBand="1" w:evenHBand="0" w:firstRowFirstColumn="0" w:firstRowLastColumn="0" w:lastRowFirstColumn="0" w:lastRowLastColumn="0"/>
              <w:rPr>
                <w:sz w:val="20"/>
                <w:szCs w:val="20"/>
              </w:rPr>
            </w:pPr>
            <w:r w:rsidRPr="00153088">
              <w:rPr>
                <w:sz w:val="20"/>
                <w:szCs w:val="20"/>
              </w:rPr>
              <w:t>Engagement with a REP association group may be the best way to enhance collaboration between all parties. Rather than individually reaching out to all REP companies may not be feasible for TDUs with limited resources.</w:t>
            </w:r>
          </w:p>
        </w:tc>
      </w:tr>
    </w:tbl>
    <w:p w14:paraId="1386812D" w14:textId="77777777" w:rsidR="009B1EAB" w:rsidRDefault="009B1EAB" w:rsidP="004852A6">
      <w:pPr>
        <w:rPr>
          <w:b/>
          <w:bCs/>
          <w:sz w:val="24"/>
          <w:szCs w:val="24"/>
        </w:rPr>
      </w:pPr>
    </w:p>
    <w:p w14:paraId="6E60F990" w14:textId="0B82CF76" w:rsidR="00243B6F" w:rsidRDefault="00243B6F" w:rsidP="004852A6">
      <w:pPr>
        <w:rPr>
          <w:b/>
          <w:bCs/>
          <w:sz w:val="24"/>
          <w:szCs w:val="24"/>
        </w:rPr>
      </w:pPr>
      <w:r w:rsidRPr="00645E26">
        <w:rPr>
          <w:b/>
          <w:bCs/>
          <w:sz w:val="24"/>
          <w:szCs w:val="24"/>
        </w:rPr>
        <w:t>Session 4 March 9th, 2023</w:t>
      </w:r>
      <w:r>
        <w:rPr>
          <w:b/>
          <w:bCs/>
          <w:sz w:val="24"/>
          <w:szCs w:val="24"/>
        </w:rPr>
        <w:t xml:space="preserve">, </w:t>
      </w:r>
      <w:r w:rsidRPr="00645E26">
        <w:rPr>
          <w:b/>
          <w:bCs/>
          <w:sz w:val="24"/>
          <w:szCs w:val="24"/>
        </w:rPr>
        <w:t xml:space="preserve">EE Program Planning Working Group </w:t>
      </w:r>
    </w:p>
    <w:p w14:paraId="62610ECA" w14:textId="261F07BD" w:rsidR="00910C15" w:rsidRPr="000915C1" w:rsidRDefault="00910C15" w:rsidP="00910C15">
      <w:pPr>
        <w:rPr>
          <w:b/>
          <w:bCs/>
          <w:szCs w:val="22"/>
        </w:rPr>
      </w:pPr>
      <w:r w:rsidRPr="000915C1">
        <w:rPr>
          <w:szCs w:val="22"/>
        </w:rPr>
        <w:t>The Program Planning working</w:t>
      </w:r>
      <w:r w:rsidRPr="000915C1">
        <w:rPr>
          <w:b/>
          <w:bCs/>
          <w:szCs w:val="22"/>
        </w:rPr>
        <w:t xml:space="preserve"> </w:t>
      </w:r>
      <w:r w:rsidRPr="000915C1">
        <w:rPr>
          <w:szCs w:val="22"/>
        </w:rPr>
        <w:t xml:space="preserve">group discussed the Best Practices and Overarching Themes that emerged during all the workshops, including any wordsmithing and/or comments gathered for each presented. </w:t>
      </w:r>
      <w:r w:rsidRPr="000915C1">
        <w:rPr>
          <w:rStyle w:val="normaltextrun"/>
          <w:color w:val="000000"/>
          <w:szCs w:val="22"/>
          <w:shd w:val="clear" w:color="auto" w:fill="FFFFFF"/>
        </w:rPr>
        <w:t xml:space="preserve">In addition, the facilitator discussed the session summary tables and review process for the EEIP progress update. </w:t>
      </w:r>
    </w:p>
    <w:p w14:paraId="087E7CE2" w14:textId="77777777" w:rsidR="002E75F8" w:rsidRPr="00957BD4" w:rsidRDefault="002E75F8" w:rsidP="004852A6">
      <w:pPr>
        <w:rPr>
          <w:b/>
          <w:sz w:val="24"/>
          <w:szCs w:val="24"/>
        </w:rPr>
      </w:pPr>
    </w:p>
    <w:sectPr w:rsidR="002E75F8" w:rsidRPr="00957BD4" w:rsidSect="00D41371">
      <w:footerReference w:type="default" r:id="rId21"/>
      <w:headerReference w:type="first" r:id="rId22"/>
      <w:footerReference w:type="first" r:id="rId23"/>
      <w:type w:val="continuous"/>
      <w:pgSz w:w="12240" w:h="15840" w:code="1"/>
      <w:pgMar w:top="1440" w:right="1080" w:bottom="108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C29AC" w14:textId="77777777" w:rsidR="00060187" w:rsidRDefault="00060187" w:rsidP="00A0573C">
      <w:r>
        <w:separator/>
      </w:r>
    </w:p>
  </w:endnote>
  <w:endnote w:type="continuationSeparator" w:id="0">
    <w:p w14:paraId="13FE6954" w14:textId="77777777" w:rsidR="00060187" w:rsidRDefault="00060187" w:rsidP="00A0573C">
      <w:r>
        <w:continuationSeparator/>
      </w:r>
    </w:p>
  </w:endnote>
  <w:endnote w:type="continuationNotice" w:id="1">
    <w:p w14:paraId="15662AF1" w14:textId="77777777" w:rsidR="00060187" w:rsidRDefault="0006018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illSans">
    <w:altName w:val="Calibri"/>
    <w:panose1 w:val="00000000000000000000"/>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Univers LT Std 55">
    <w:panose1 w:val="00000000000000000000"/>
    <w:charset w:val="00"/>
    <w:family w:val="swiss"/>
    <w:notTrueType/>
    <w:pitch w:val="variable"/>
    <w:sig w:usb0="800000AF" w:usb1="4000204A" w:usb2="00000000" w:usb3="00000000" w:csb0="00000001"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0"/>
      <w:gridCol w:w="6882"/>
      <w:gridCol w:w="1198"/>
    </w:tblGrid>
    <w:tr w:rsidR="000F1546" w:rsidRPr="00222D3F" w14:paraId="12D01140" w14:textId="77777777" w:rsidTr="00C906E8">
      <w:trPr>
        <w:trHeight w:val="360"/>
      </w:trPr>
      <w:tc>
        <w:tcPr>
          <w:tcW w:w="1710" w:type="dxa"/>
        </w:tcPr>
        <w:p w14:paraId="6ECE6778" w14:textId="77777777" w:rsidR="000F1546" w:rsidRPr="00E75B00" w:rsidRDefault="000F1546" w:rsidP="00222D3F">
          <w:pPr>
            <w:spacing w:before="60"/>
            <w:rPr>
              <w:b/>
              <w:color w:val="003478"/>
            </w:rPr>
          </w:pPr>
          <w:r w:rsidRPr="00E75B00">
            <w:rPr>
              <w:b/>
              <w:noProof/>
              <w:color w:val="003478"/>
            </w:rPr>
            <w:t>TETRA TECH</w:t>
          </w:r>
        </w:p>
      </w:tc>
      <w:tc>
        <w:tcPr>
          <w:tcW w:w="7560" w:type="dxa"/>
        </w:tcPr>
        <w:p w14:paraId="7F644B4B" w14:textId="6D61795C" w:rsidR="000F1546" w:rsidRPr="007A6C6B" w:rsidRDefault="000F1546" w:rsidP="00222D3F">
          <w:pPr>
            <w:spacing w:before="60"/>
            <w:jc w:val="right"/>
            <w:rPr>
              <w:sz w:val="18"/>
              <w:szCs w:val="18"/>
            </w:rPr>
          </w:pPr>
        </w:p>
      </w:tc>
      <w:tc>
        <w:tcPr>
          <w:tcW w:w="1255" w:type="dxa"/>
        </w:tcPr>
        <w:p w14:paraId="45A9813E" w14:textId="77777777" w:rsidR="000F1546" w:rsidRPr="007A6C6B" w:rsidRDefault="000F1546" w:rsidP="00222D3F">
          <w:pPr>
            <w:spacing w:before="60"/>
            <w:rPr>
              <w:sz w:val="18"/>
              <w:szCs w:val="18"/>
            </w:rPr>
          </w:pPr>
          <w:r w:rsidRPr="007A6C6B">
            <w:rPr>
              <w:rStyle w:val="PageNumber"/>
              <w:rFonts w:cs="Arial"/>
              <w:sz w:val="18"/>
              <w:szCs w:val="18"/>
            </w:rPr>
            <w:t xml:space="preserve">Page </w:t>
          </w:r>
          <w:r w:rsidRPr="007A6C6B">
            <w:rPr>
              <w:rStyle w:val="PageNumber"/>
              <w:rFonts w:cs="Arial"/>
              <w:sz w:val="18"/>
              <w:szCs w:val="18"/>
            </w:rPr>
            <w:fldChar w:fldCharType="begin"/>
          </w:r>
          <w:r w:rsidRPr="007A6C6B">
            <w:rPr>
              <w:rStyle w:val="PageNumber"/>
              <w:rFonts w:cs="Arial"/>
              <w:sz w:val="18"/>
              <w:szCs w:val="18"/>
            </w:rPr>
            <w:instrText xml:space="preserve"> PAGE </w:instrText>
          </w:r>
          <w:r w:rsidRPr="007A6C6B">
            <w:rPr>
              <w:rStyle w:val="PageNumber"/>
              <w:rFonts w:cs="Arial"/>
              <w:sz w:val="18"/>
              <w:szCs w:val="18"/>
            </w:rPr>
            <w:fldChar w:fldCharType="separate"/>
          </w:r>
          <w:r w:rsidRPr="007A6C6B">
            <w:rPr>
              <w:rStyle w:val="PageNumber"/>
              <w:rFonts w:cs="Arial"/>
              <w:noProof/>
              <w:sz w:val="18"/>
              <w:szCs w:val="18"/>
            </w:rPr>
            <w:t>17</w:t>
          </w:r>
          <w:r w:rsidRPr="007A6C6B">
            <w:rPr>
              <w:rStyle w:val="PageNumber"/>
              <w:rFonts w:cs="Arial"/>
              <w:sz w:val="18"/>
              <w:szCs w:val="18"/>
            </w:rPr>
            <w:fldChar w:fldCharType="end"/>
          </w:r>
        </w:p>
      </w:tc>
    </w:tr>
  </w:tbl>
  <w:p w14:paraId="5332830A" w14:textId="77777777" w:rsidR="000F1546" w:rsidRPr="00222D3F" w:rsidRDefault="000F1546" w:rsidP="00557DCE">
    <w:pPr>
      <w:pStyle w:val="Footer"/>
      <w:spacing w:before="0"/>
      <w:jc w:val="left"/>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0"/>
      <w:gridCol w:w="6882"/>
      <w:gridCol w:w="1198"/>
    </w:tblGrid>
    <w:tr w:rsidR="000F1546" w:rsidRPr="00222D3F" w14:paraId="60E3633E" w14:textId="77777777" w:rsidTr="00222D3F">
      <w:trPr>
        <w:trHeight w:val="360"/>
      </w:trPr>
      <w:tc>
        <w:tcPr>
          <w:tcW w:w="1710" w:type="dxa"/>
        </w:tcPr>
        <w:p w14:paraId="41C1BAF2" w14:textId="77777777" w:rsidR="000F1546" w:rsidRPr="00222D3F" w:rsidRDefault="000F1546" w:rsidP="00222D3F">
          <w:pPr>
            <w:spacing w:before="60"/>
            <w:rPr>
              <w:b/>
            </w:rPr>
          </w:pPr>
          <w:r w:rsidRPr="00E75B00">
            <w:rPr>
              <w:b/>
              <w:noProof/>
              <w:color w:val="003478"/>
            </w:rPr>
            <w:t>TETRA TECH</w:t>
          </w:r>
        </w:p>
      </w:tc>
      <w:tc>
        <w:tcPr>
          <w:tcW w:w="7560" w:type="dxa"/>
        </w:tcPr>
        <w:p w14:paraId="402D9AA0" w14:textId="36117ACF" w:rsidR="000F1546" w:rsidRPr="00832F64" w:rsidRDefault="000F1546" w:rsidP="00222D3F">
          <w:pPr>
            <w:spacing w:before="60"/>
            <w:jc w:val="right"/>
            <w:rPr>
              <w:sz w:val="18"/>
              <w:szCs w:val="18"/>
            </w:rPr>
          </w:pPr>
        </w:p>
      </w:tc>
      <w:tc>
        <w:tcPr>
          <w:tcW w:w="1255" w:type="dxa"/>
        </w:tcPr>
        <w:p w14:paraId="3091B542" w14:textId="77777777" w:rsidR="000F1546" w:rsidRPr="00222D3F" w:rsidRDefault="000F1546" w:rsidP="00222D3F">
          <w:pPr>
            <w:spacing w:before="60"/>
            <w:rPr>
              <w:sz w:val="18"/>
              <w:szCs w:val="18"/>
            </w:rPr>
          </w:pPr>
          <w:r w:rsidRPr="00222D3F">
            <w:rPr>
              <w:rStyle w:val="PageNumber"/>
              <w:rFonts w:cs="Arial"/>
              <w:sz w:val="18"/>
              <w:szCs w:val="18"/>
            </w:rPr>
            <w:t xml:space="preserve">Page </w:t>
          </w:r>
          <w:r w:rsidRPr="00222D3F">
            <w:rPr>
              <w:rStyle w:val="PageNumber"/>
              <w:rFonts w:cs="Arial"/>
              <w:sz w:val="18"/>
              <w:szCs w:val="18"/>
            </w:rPr>
            <w:fldChar w:fldCharType="begin"/>
          </w:r>
          <w:r w:rsidRPr="00222D3F">
            <w:rPr>
              <w:rStyle w:val="PageNumber"/>
              <w:rFonts w:cs="Arial"/>
              <w:sz w:val="18"/>
              <w:szCs w:val="18"/>
            </w:rPr>
            <w:instrText xml:space="preserve"> PAGE </w:instrText>
          </w:r>
          <w:r w:rsidRPr="00222D3F">
            <w:rPr>
              <w:rStyle w:val="PageNumber"/>
              <w:rFonts w:cs="Arial"/>
              <w:sz w:val="18"/>
              <w:szCs w:val="18"/>
            </w:rPr>
            <w:fldChar w:fldCharType="separate"/>
          </w:r>
          <w:r>
            <w:rPr>
              <w:rStyle w:val="PageNumber"/>
              <w:rFonts w:cs="Arial"/>
              <w:noProof/>
              <w:sz w:val="18"/>
              <w:szCs w:val="18"/>
            </w:rPr>
            <w:t>1</w:t>
          </w:r>
          <w:r w:rsidRPr="00222D3F">
            <w:rPr>
              <w:rStyle w:val="PageNumber"/>
              <w:rFonts w:cs="Arial"/>
              <w:sz w:val="18"/>
              <w:szCs w:val="18"/>
            </w:rPr>
            <w:fldChar w:fldCharType="end"/>
          </w:r>
        </w:p>
      </w:tc>
    </w:tr>
  </w:tbl>
  <w:p w14:paraId="0E631931" w14:textId="77777777" w:rsidR="000F1546" w:rsidRPr="00851B7B" w:rsidRDefault="000F1546" w:rsidP="00851B7B">
    <w:pPr>
      <w:pStyle w:val="Footer"/>
      <w:spacing w:befor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03D6F" w14:textId="77777777" w:rsidR="00060187" w:rsidRDefault="00060187" w:rsidP="00A0573C">
      <w:r>
        <w:separator/>
      </w:r>
    </w:p>
  </w:footnote>
  <w:footnote w:type="continuationSeparator" w:id="0">
    <w:p w14:paraId="1B2A44E8" w14:textId="77777777" w:rsidR="00060187" w:rsidRDefault="00060187" w:rsidP="00A0573C">
      <w:r>
        <w:continuationSeparator/>
      </w:r>
    </w:p>
  </w:footnote>
  <w:footnote w:type="continuationNotice" w:id="1">
    <w:p w14:paraId="4D69ACA5" w14:textId="77777777" w:rsidR="00060187" w:rsidRDefault="00060187">
      <w:pPr>
        <w:spacing w:before="0"/>
      </w:pPr>
    </w:p>
  </w:footnote>
  <w:footnote w:id="2">
    <w:p w14:paraId="04294146" w14:textId="77777777" w:rsidR="002E75F8" w:rsidRDefault="002E75F8" w:rsidP="002E75F8">
      <w:r>
        <w:rPr>
          <w:rStyle w:val="FootnoteReference"/>
        </w:rPr>
        <w:footnoteRef/>
      </w:r>
      <w:r>
        <w:t xml:space="preserve"> </w:t>
      </w:r>
      <w:r>
        <w:rPr>
          <w:sz w:val="16"/>
          <w:szCs w:val="18"/>
        </w:rPr>
        <w:t xml:space="preserve">In response to concerns of limiting participation to one working group for those who preferred to participate in two or more working groups, a listen-in only option was made available upon request (as a muted live attendee or via recording). Those requesting a listen only option were able to send additional ideas separately to the working group facilitator.  </w:t>
      </w:r>
    </w:p>
    <w:p w14:paraId="3DB9BF5F" w14:textId="77777777" w:rsidR="002E75F8" w:rsidRDefault="002E75F8" w:rsidP="002E75F8">
      <w:pPr>
        <w:pStyle w:val="FootnoteText"/>
      </w:pPr>
    </w:p>
  </w:footnote>
  <w:footnote w:id="3">
    <w:p w14:paraId="5BFE21EC" w14:textId="77777777" w:rsidR="00A21CAA" w:rsidRDefault="00A21CAA" w:rsidP="00A21CAA">
      <w:pPr>
        <w:pStyle w:val="FootnoteText"/>
      </w:pPr>
      <w:r>
        <w:rPr>
          <w:rStyle w:val="FootnoteReference"/>
        </w:rPr>
        <w:footnoteRef/>
      </w:r>
      <w:r>
        <w:t xml:space="preserve"> At the time of the working groups, the legislature is in session. Therefore, participants do not know if legislation will require any changes to PURA § 39.905 that would effect load management.</w:t>
      </w:r>
    </w:p>
  </w:footnote>
  <w:footnote w:id="4">
    <w:p w14:paraId="7F67340B" w14:textId="6D0DD7E4" w:rsidR="0032339D" w:rsidRDefault="0032339D">
      <w:pPr>
        <w:pStyle w:val="FootnoteText"/>
      </w:pPr>
      <w:r>
        <w:rPr>
          <w:rStyle w:val="FootnoteReference"/>
        </w:rPr>
        <w:footnoteRef/>
      </w:r>
      <w:r>
        <w:t xml:space="preserve"> </w:t>
      </w:r>
      <w:r w:rsidR="00A21CAA">
        <w:rPr>
          <w:rFonts w:ascii="Roboto" w:hAnsi="Roboto"/>
          <w:color w:val="202124"/>
          <w:sz w:val="21"/>
          <w:szCs w:val="21"/>
          <w:shd w:val="clear" w:color="auto" w:fill="FFFFFF"/>
        </w:rPr>
        <w:t>Stretch goals are understood to be a </w:t>
      </w:r>
      <w:r w:rsidR="00A21CAA">
        <w:rPr>
          <w:rStyle w:val="sdzsvb"/>
          <w:rFonts w:ascii="Roboto" w:hAnsi="Roboto"/>
          <w:color w:val="202124"/>
          <w:sz w:val="21"/>
          <w:szCs w:val="21"/>
          <w:u w:val="single"/>
          <w:shd w:val="clear" w:color="auto" w:fill="FFFFFF"/>
        </w:rPr>
        <w:t>deliberately</w:t>
      </w:r>
      <w:r w:rsidR="00A21CAA">
        <w:rPr>
          <w:rFonts w:ascii="Roboto" w:hAnsi="Roboto"/>
          <w:color w:val="202124"/>
          <w:sz w:val="21"/>
          <w:szCs w:val="21"/>
          <w:shd w:val="clear" w:color="auto" w:fill="FFFFFF"/>
        </w:rPr>
        <w:t> challenging or ambitious aim or objective.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5567" w14:textId="228D73F3" w:rsidR="000F1546" w:rsidRPr="00502740" w:rsidRDefault="00A321AE" w:rsidP="00532E57">
    <w:pPr>
      <w:pStyle w:val="TtHeader-Title1"/>
    </w:pPr>
    <w:r>
      <w:rPr>
        <w:noProof/>
      </w:rPr>
      <w:drawing>
        <wp:anchor distT="0" distB="0" distL="114300" distR="114300" simplePos="0" relativeHeight="251658241" behindDoc="0" locked="0" layoutInCell="1" allowOverlap="1" wp14:anchorId="27A5E907" wp14:editId="747AEE36">
          <wp:simplePos x="0" y="0"/>
          <wp:positionH relativeFrom="column">
            <wp:posOffset>2165350</wp:posOffset>
          </wp:positionH>
          <wp:positionV relativeFrom="paragraph">
            <wp:posOffset>44450</wp:posOffset>
          </wp:positionV>
          <wp:extent cx="744855" cy="605049"/>
          <wp:effectExtent l="0" t="0" r="0" b="508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44855" cy="605049"/>
                  </a:xfrm>
                  <a:prstGeom prst="rect">
                    <a:avLst/>
                  </a:prstGeom>
                </pic:spPr>
              </pic:pic>
            </a:graphicData>
          </a:graphic>
          <wp14:sizeRelH relativeFrom="margin">
            <wp14:pctWidth>0</wp14:pctWidth>
          </wp14:sizeRelH>
          <wp14:sizeRelV relativeFrom="margin">
            <wp14:pctHeight>0</wp14:pctHeight>
          </wp14:sizeRelV>
        </wp:anchor>
      </w:drawing>
    </w:r>
    <w:r w:rsidR="000F1546" w:rsidRPr="00502740">
      <w:rPr>
        <w:noProof/>
      </w:rPr>
      <w:drawing>
        <wp:anchor distT="0" distB="594360" distL="0" distR="0" simplePos="0" relativeHeight="251658240" behindDoc="1" locked="0" layoutInCell="1" allowOverlap="1" wp14:anchorId="1AD7A874" wp14:editId="5E6622A3">
          <wp:simplePos x="0" y="0"/>
          <wp:positionH relativeFrom="column">
            <wp:posOffset>0</wp:posOffset>
          </wp:positionH>
          <wp:positionV relativeFrom="paragraph">
            <wp:posOffset>1270</wp:posOffset>
          </wp:positionV>
          <wp:extent cx="1943100" cy="506095"/>
          <wp:effectExtent l="0" t="0" r="0"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3100" cy="5060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0430DA" w14:textId="77777777" w:rsidR="000F1546" w:rsidRDefault="000F1546" w:rsidP="00A057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1C"/>
    <w:multiLevelType w:val="multilevel"/>
    <w:tmpl w:val="A6BAC84C"/>
    <w:lvl w:ilvl="0">
      <w:start w:val="1"/>
      <w:numFmt w:val="bullet"/>
      <w:pStyle w:val="TableBullet"/>
      <w:lvlText w:val=""/>
      <w:lvlJc w:val="left"/>
      <w:pPr>
        <w:tabs>
          <w:tab w:val="num" w:pos="288"/>
        </w:tabs>
        <w:ind w:left="288" w:hanging="216"/>
      </w:pPr>
      <w:rPr>
        <w:rFonts w:ascii="Symbol" w:hAnsi="Symbol"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260FF7"/>
    <w:multiLevelType w:val="hybridMultilevel"/>
    <w:tmpl w:val="85208E4E"/>
    <w:lvl w:ilvl="0" w:tplc="B8948DEC">
      <w:start w:val="1"/>
      <w:numFmt w:val="bullet"/>
      <w:pStyle w:val="TableBullet2"/>
      <w:lvlText w:val="o"/>
      <w:lvlJc w:val="left"/>
      <w:pPr>
        <w:tabs>
          <w:tab w:val="num" w:pos="504"/>
        </w:tabs>
        <w:ind w:left="504" w:hanging="216"/>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3C92"/>
    <w:multiLevelType w:val="hybridMultilevel"/>
    <w:tmpl w:val="CF72E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235265"/>
    <w:multiLevelType w:val="hybridMultilevel"/>
    <w:tmpl w:val="8D765E8C"/>
    <w:lvl w:ilvl="0" w:tplc="B5C0F88C">
      <w:start w:val="1"/>
      <w:numFmt w:val="bullet"/>
      <w:lvlText w:val="•"/>
      <w:lvlJc w:val="left"/>
      <w:pPr>
        <w:tabs>
          <w:tab w:val="num" w:pos="720"/>
        </w:tabs>
        <w:ind w:left="720" w:hanging="360"/>
      </w:pPr>
      <w:rPr>
        <w:rFonts w:ascii="Times New Roman" w:hAnsi="Times New Roman" w:hint="default"/>
      </w:rPr>
    </w:lvl>
    <w:lvl w:ilvl="1" w:tplc="AA4A6C6E" w:tentative="1">
      <w:start w:val="1"/>
      <w:numFmt w:val="bullet"/>
      <w:lvlText w:val="•"/>
      <w:lvlJc w:val="left"/>
      <w:pPr>
        <w:tabs>
          <w:tab w:val="num" w:pos="1440"/>
        </w:tabs>
        <w:ind w:left="1440" w:hanging="360"/>
      </w:pPr>
      <w:rPr>
        <w:rFonts w:ascii="Times New Roman" w:hAnsi="Times New Roman" w:hint="default"/>
      </w:rPr>
    </w:lvl>
    <w:lvl w:ilvl="2" w:tplc="52AA9DE4" w:tentative="1">
      <w:start w:val="1"/>
      <w:numFmt w:val="bullet"/>
      <w:lvlText w:val="•"/>
      <w:lvlJc w:val="left"/>
      <w:pPr>
        <w:tabs>
          <w:tab w:val="num" w:pos="2160"/>
        </w:tabs>
        <w:ind w:left="2160" w:hanging="360"/>
      </w:pPr>
      <w:rPr>
        <w:rFonts w:ascii="Times New Roman" w:hAnsi="Times New Roman" w:hint="default"/>
      </w:rPr>
    </w:lvl>
    <w:lvl w:ilvl="3" w:tplc="DFBA729E" w:tentative="1">
      <w:start w:val="1"/>
      <w:numFmt w:val="bullet"/>
      <w:lvlText w:val="•"/>
      <w:lvlJc w:val="left"/>
      <w:pPr>
        <w:tabs>
          <w:tab w:val="num" w:pos="2880"/>
        </w:tabs>
        <w:ind w:left="2880" w:hanging="360"/>
      </w:pPr>
      <w:rPr>
        <w:rFonts w:ascii="Times New Roman" w:hAnsi="Times New Roman" w:hint="default"/>
      </w:rPr>
    </w:lvl>
    <w:lvl w:ilvl="4" w:tplc="A642D9CA" w:tentative="1">
      <w:start w:val="1"/>
      <w:numFmt w:val="bullet"/>
      <w:lvlText w:val="•"/>
      <w:lvlJc w:val="left"/>
      <w:pPr>
        <w:tabs>
          <w:tab w:val="num" w:pos="3600"/>
        </w:tabs>
        <w:ind w:left="3600" w:hanging="360"/>
      </w:pPr>
      <w:rPr>
        <w:rFonts w:ascii="Times New Roman" w:hAnsi="Times New Roman" w:hint="default"/>
      </w:rPr>
    </w:lvl>
    <w:lvl w:ilvl="5" w:tplc="D86C2F44" w:tentative="1">
      <w:start w:val="1"/>
      <w:numFmt w:val="bullet"/>
      <w:lvlText w:val="•"/>
      <w:lvlJc w:val="left"/>
      <w:pPr>
        <w:tabs>
          <w:tab w:val="num" w:pos="4320"/>
        </w:tabs>
        <w:ind w:left="4320" w:hanging="360"/>
      </w:pPr>
      <w:rPr>
        <w:rFonts w:ascii="Times New Roman" w:hAnsi="Times New Roman" w:hint="default"/>
      </w:rPr>
    </w:lvl>
    <w:lvl w:ilvl="6" w:tplc="C2CCB212" w:tentative="1">
      <w:start w:val="1"/>
      <w:numFmt w:val="bullet"/>
      <w:lvlText w:val="•"/>
      <w:lvlJc w:val="left"/>
      <w:pPr>
        <w:tabs>
          <w:tab w:val="num" w:pos="5040"/>
        </w:tabs>
        <w:ind w:left="5040" w:hanging="360"/>
      </w:pPr>
      <w:rPr>
        <w:rFonts w:ascii="Times New Roman" w:hAnsi="Times New Roman" w:hint="default"/>
      </w:rPr>
    </w:lvl>
    <w:lvl w:ilvl="7" w:tplc="0F184C5A" w:tentative="1">
      <w:start w:val="1"/>
      <w:numFmt w:val="bullet"/>
      <w:lvlText w:val="•"/>
      <w:lvlJc w:val="left"/>
      <w:pPr>
        <w:tabs>
          <w:tab w:val="num" w:pos="5760"/>
        </w:tabs>
        <w:ind w:left="5760" w:hanging="360"/>
      </w:pPr>
      <w:rPr>
        <w:rFonts w:ascii="Times New Roman" w:hAnsi="Times New Roman" w:hint="default"/>
      </w:rPr>
    </w:lvl>
    <w:lvl w:ilvl="8" w:tplc="76BA3C6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8635D80"/>
    <w:multiLevelType w:val="hybridMultilevel"/>
    <w:tmpl w:val="8F6A6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CE64B7"/>
    <w:multiLevelType w:val="hybridMultilevel"/>
    <w:tmpl w:val="022CA84E"/>
    <w:lvl w:ilvl="0" w:tplc="21C4BEAE">
      <w:start w:val="1"/>
      <w:numFmt w:val="bullet"/>
      <w:lvlText w:val="•"/>
      <w:lvlJc w:val="left"/>
      <w:pPr>
        <w:tabs>
          <w:tab w:val="num" w:pos="720"/>
        </w:tabs>
        <w:ind w:left="720" w:hanging="360"/>
      </w:pPr>
      <w:rPr>
        <w:rFonts w:ascii="Times New Roman" w:hAnsi="Times New Roman" w:hint="default"/>
      </w:rPr>
    </w:lvl>
    <w:lvl w:ilvl="1" w:tplc="A53EAD2E" w:tentative="1">
      <w:start w:val="1"/>
      <w:numFmt w:val="bullet"/>
      <w:lvlText w:val="•"/>
      <w:lvlJc w:val="left"/>
      <w:pPr>
        <w:tabs>
          <w:tab w:val="num" w:pos="1440"/>
        </w:tabs>
        <w:ind w:left="1440" w:hanging="360"/>
      </w:pPr>
      <w:rPr>
        <w:rFonts w:ascii="Times New Roman" w:hAnsi="Times New Roman" w:hint="default"/>
      </w:rPr>
    </w:lvl>
    <w:lvl w:ilvl="2" w:tplc="612E75C0" w:tentative="1">
      <w:start w:val="1"/>
      <w:numFmt w:val="bullet"/>
      <w:lvlText w:val="•"/>
      <w:lvlJc w:val="left"/>
      <w:pPr>
        <w:tabs>
          <w:tab w:val="num" w:pos="2160"/>
        </w:tabs>
        <w:ind w:left="2160" w:hanging="360"/>
      </w:pPr>
      <w:rPr>
        <w:rFonts w:ascii="Times New Roman" w:hAnsi="Times New Roman" w:hint="default"/>
      </w:rPr>
    </w:lvl>
    <w:lvl w:ilvl="3" w:tplc="BE822090" w:tentative="1">
      <w:start w:val="1"/>
      <w:numFmt w:val="bullet"/>
      <w:lvlText w:val="•"/>
      <w:lvlJc w:val="left"/>
      <w:pPr>
        <w:tabs>
          <w:tab w:val="num" w:pos="2880"/>
        </w:tabs>
        <w:ind w:left="2880" w:hanging="360"/>
      </w:pPr>
      <w:rPr>
        <w:rFonts w:ascii="Times New Roman" w:hAnsi="Times New Roman" w:hint="default"/>
      </w:rPr>
    </w:lvl>
    <w:lvl w:ilvl="4" w:tplc="AC12AFBC" w:tentative="1">
      <w:start w:val="1"/>
      <w:numFmt w:val="bullet"/>
      <w:lvlText w:val="•"/>
      <w:lvlJc w:val="left"/>
      <w:pPr>
        <w:tabs>
          <w:tab w:val="num" w:pos="3600"/>
        </w:tabs>
        <w:ind w:left="3600" w:hanging="360"/>
      </w:pPr>
      <w:rPr>
        <w:rFonts w:ascii="Times New Roman" w:hAnsi="Times New Roman" w:hint="default"/>
      </w:rPr>
    </w:lvl>
    <w:lvl w:ilvl="5" w:tplc="57E43F74" w:tentative="1">
      <w:start w:val="1"/>
      <w:numFmt w:val="bullet"/>
      <w:lvlText w:val="•"/>
      <w:lvlJc w:val="left"/>
      <w:pPr>
        <w:tabs>
          <w:tab w:val="num" w:pos="4320"/>
        </w:tabs>
        <w:ind w:left="4320" w:hanging="360"/>
      </w:pPr>
      <w:rPr>
        <w:rFonts w:ascii="Times New Roman" w:hAnsi="Times New Roman" w:hint="default"/>
      </w:rPr>
    </w:lvl>
    <w:lvl w:ilvl="6" w:tplc="BC22DD9E" w:tentative="1">
      <w:start w:val="1"/>
      <w:numFmt w:val="bullet"/>
      <w:lvlText w:val="•"/>
      <w:lvlJc w:val="left"/>
      <w:pPr>
        <w:tabs>
          <w:tab w:val="num" w:pos="5040"/>
        </w:tabs>
        <w:ind w:left="5040" w:hanging="360"/>
      </w:pPr>
      <w:rPr>
        <w:rFonts w:ascii="Times New Roman" w:hAnsi="Times New Roman" w:hint="default"/>
      </w:rPr>
    </w:lvl>
    <w:lvl w:ilvl="7" w:tplc="81A4D214" w:tentative="1">
      <w:start w:val="1"/>
      <w:numFmt w:val="bullet"/>
      <w:lvlText w:val="•"/>
      <w:lvlJc w:val="left"/>
      <w:pPr>
        <w:tabs>
          <w:tab w:val="num" w:pos="5760"/>
        </w:tabs>
        <w:ind w:left="5760" w:hanging="360"/>
      </w:pPr>
      <w:rPr>
        <w:rFonts w:ascii="Times New Roman" w:hAnsi="Times New Roman" w:hint="default"/>
      </w:rPr>
    </w:lvl>
    <w:lvl w:ilvl="8" w:tplc="FB385CF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DF65123"/>
    <w:multiLevelType w:val="hybridMultilevel"/>
    <w:tmpl w:val="FA5E7AE2"/>
    <w:lvl w:ilvl="0" w:tplc="AE2E89C0">
      <w:start w:val="1"/>
      <w:numFmt w:val="bullet"/>
      <w:lvlText w:val="•"/>
      <w:lvlJc w:val="left"/>
      <w:pPr>
        <w:tabs>
          <w:tab w:val="num" w:pos="720"/>
        </w:tabs>
        <w:ind w:left="720" w:hanging="360"/>
      </w:pPr>
      <w:rPr>
        <w:rFonts w:ascii="Times New Roman" w:hAnsi="Times New Roman" w:hint="default"/>
      </w:rPr>
    </w:lvl>
    <w:lvl w:ilvl="1" w:tplc="F9643A1C" w:tentative="1">
      <w:start w:val="1"/>
      <w:numFmt w:val="bullet"/>
      <w:lvlText w:val="•"/>
      <w:lvlJc w:val="left"/>
      <w:pPr>
        <w:tabs>
          <w:tab w:val="num" w:pos="1440"/>
        </w:tabs>
        <w:ind w:left="1440" w:hanging="360"/>
      </w:pPr>
      <w:rPr>
        <w:rFonts w:ascii="Times New Roman" w:hAnsi="Times New Roman" w:hint="default"/>
      </w:rPr>
    </w:lvl>
    <w:lvl w:ilvl="2" w:tplc="C9AC7F5E" w:tentative="1">
      <w:start w:val="1"/>
      <w:numFmt w:val="bullet"/>
      <w:lvlText w:val="•"/>
      <w:lvlJc w:val="left"/>
      <w:pPr>
        <w:tabs>
          <w:tab w:val="num" w:pos="2160"/>
        </w:tabs>
        <w:ind w:left="2160" w:hanging="360"/>
      </w:pPr>
      <w:rPr>
        <w:rFonts w:ascii="Times New Roman" w:hAnsi="Times New Roman" w:hint="default"/>
      </w:rPr>
    </w:lvl>
    <w:lvl w:ilvl="3" w:tplc="BB6A7AAC" w:tentative="1">
      <w:start w:val="1"/>
      <w:numFmt w:val="bullet"/>
      <w:lvlText w:val="•"/>
      <w:lvlJc w:val="left"/>
      <w:pPr>
        <w:tabs>
          <w:tab w:val="num" w:pos="2880"/>
        </w:tabs>
        <w:ind w:left="2880" w:hanging="360"/>
      </w:pPr>
      <w:rPr>
        <w:rFonts w:ascii="Times New Roman" w:hAnsi="Times New Roman" w:hint="default"/>
      </w:rPr>
    </w:lvl>
    <w:lvl w:ilvl="4" w:tplc="787A69C4" w:tentative="1">
      <w:start w:val="1"/>
      <w:numFmt w:val="bullet"/>
      <w:lvlText w:val="•"/>
      <w:lvlJc w:val="left"/>
      <w:pPr>
        <w:tabs>
          <w:tab w:val="num" w:pos="3600"/>
        </w:tabs>
        <w:ind w:left="3600" w:hanging="360"/>
      </w:pPr>
      <w:rPr>
        <w:rFonts w:ascii="Times New Roman" w:hAnsi="Times New Roman" w:hint="default"/>
      </w:rPr>
    </w:lvl>
    <w:lvl w:ilvl="5" w:tplc="0344B1DA" w:tentative="1">
      <w:start w:val="1"/>
      <w:numFmt w:val="bullet"/>
      <w:lvlText w:val="•"/>
      <w:lvlJc w:val="left"/>
      <w:pPr>
        <w:tabs>
          <w:tab w:val="num" w:pos="4320"/>
        </w:tabs>
        <w:ind w:left="4320" w:hanging="360"/>
      </w:pPr>
      <w:rPr>
        <w:rFonts w:ascii="Times New Roman" w:hAnsi="Times New Roman" w:hint="default"/>
      </w:rPr>
    </w:lvl>
    <w:lvl w:ilvl="6" w:tplc="8458CAF0" w:tentative="1">
      <w:start w:val="1"/>
      <w:numFmt w:val="bullet"/>
      <w:lvlText w:val="•"/>
      <w:lvlJc w:val="left"/>
      <w:pPr>
        <w:tabs>
          <w:tab w:val="num" w:pos="5040"/>
        </w:tabs>
        <w:ind w:left="5040" w:hanging="360"/>
      </w:pPr>
      <w:rPr>
        <w:rFonts w:ascii="Times New Roman" w:hAnsi="Times New Roman" w:hint="default"/>
      </w:rPr>
    </w:lvl>
    <w:lvl w:ilvl="7" w:tplc="02D62CBE" w:tentative="1">
      <w:start w:val="1"/>
      <w:numFmt w:val="bullet"/>
      <w:lvlText w:val="•"/>
      <w:lvlJc w:val="left"/>
      <w:pPr>
        <w:tabs>
          <w:tab w:val="num" w:pos="5760"/>
        </w:tabs>
        <w:ind w:left="5760" w:hanging="360"/>
      </w:pPr>
      <w:rPr>
        <w:rFonts w:ascii="Times New Roman" w:hAnsi="Times New Roman" w:hint="default"/>
      </w:rPr>
    </w:lvl>
    <w:lvl w:ilvl="8" w:tplc="E8A6D46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E55076B"/>
    <w:multiLevelType w:val="multilevel"/>
    <w:tmpl w:val="BA9A24EE"/>
    <w:lvl w:ilvl="0">
      <w:start w:val="1"/>
      <w:numFmt w:val="decimal"/>
      <w:pStyle w:val="ListNumber"/>
      <w:lvlText w:val="%1."/>
      <w:lvlJc w:val="left"/>
      <w:pPr>
        <w:ind w:left="850" w:hanging="288"/>
      </w:pPr>
      <w:rPr>
        <w:rFonts w:ascii="Arial" w:hAnsi="Arial" w:hint="default"/>
        <w:sz w:val="22"/>
      </w:rPr>
    </w:lvl>
    <w:lvl w:ilvl="1">
      <w:start w:val="1"/>
      <w:numFmt w:val="lowerLetter"/>
      <w:pStyle w:val="ListNumber2"/>
      <w:lvlText w:val="%2."/>
      <w:lvlJc w:val="left"/>
      <w:pPr>
        <w:ind w:left="1138" w:hanging="288"/>
      </w:pPr>
      <w:rPr>
        <w:rFonts w:ascii="Arial" w:hAnsi="Arial" w:hint="default"/>
        <w:sz w:val="22"/>
      </w:rPr>
    </w:lvl>
    <w:lvl w:ilvl="2">
      <w:start w:val="1"/>
      <w:numFmt w:val="lowerRoman"/>
      <w:pStyle w:val="ListNumber3"/>
      <w:lvlText w:val="%3."/>
      <w:lvlJc w:val="left"/>
      <w:pPr>
        <w:ind w:left="1426" w:hanging="288"/>
      </w:pPr>
      <w:rPr>
        <w:rFonts w:ascii="Arial" w:hAnsi="Arial" w:hint="default"/>
        <w:sz w:val="22"/>
      </w:rPr>
    </w:lvl>
    <w:lvl w:ilvl="3">
      <w:start w:val="1"/>
      <w:numFmt w:val="bullet"/>
      <w:lvlText w:val="-"/>
      <w:lvlJc w:val="left"/>
      <w:pPr>
        <w:ind w:left="1714" w:hanging="288"/>
      </w:pPr>
      <w:rPr>
        <w:rFonts w:ascii="Arial" w:hAnsi="Arial" w:hint="default"/>
      </w:rPr>
    </w:lvl>
    <w:lvl w:ilvl="4">
      <w:start w:val="1"/>
      <w:numFmt w:val="bullet"/>
      <w:lvlText w:val="o"/>
      <w:lvlJc w:val="left"/>
      <w:pPr>
        <w:ind w:left="2002" w:hanging="288"/>
      </w:pPr>
      <w:rPr>
        <w:rFonts w:ascii="Courier New" w:hAnsi="Courier New" w:cs="Courier New" w:hint="default"/>
      </w:rPr>
    </w:lvl>
    <w:lvl w:ilvl="5">
      <w:start w:val="1"/>
      <w:numFmt w:val="bullet"/>
      <w:lvlText w:val=""/>
      <w:lvlJc w:val="left"/>
      <w:pPr>
        <w:ind w:left="2290" w:hanging="288"/>
      </w:pPr>
      <w:rPr>
        <w:rFonts w:ascii="Wingdings" w:hAnsi="Wingdings" w:hint="default"/>
      </w:rPr>
    </w:lvl>
    <w:lvl w:ilvl="6">
      <w:start w:val="1"/>
      <w:numFmt w:val="bullet"/>
      <w:lvlText w:val=""/>
      <w:lvlJc w:val="left"/>
      <w:pPr>
        <w:ind w:left="2578" w:hanging="288"/>
      </w:pPr>
      <w:rPr>
        <w:rFonts w:ascii="Symbol" w:hAnsi="Symbol" w:hint="default"/>
      </w:rPr>
    </w:lvl>
    <w:lvl w:ilvl="7">
      <w:start w:val="1"/>
      <w:numFmt w:val="bullet"/>
      <w:lvlText w:val="o"/>
      <w:lvlJc w:val="left"/>
      <w:pPr>
        <w:ind w:left="2866" w:hanging="288"/>
      </w:pPr>
      <w:rPr>
        <w:rFonts w:ascii="Courier New" w:hAnsi="Courier New" w:cs="Courier New" w:hint="default"/>
      </w:rPr>
    </w:lvl>
    <w:lvl w:ilvl="8">
      <w:start w:val="1"/>
      <w:numFmt w:val="bullet"/>
      <w:lvlText w:val=""/>
      <w:lvlJc w:val="left"/>
      <w:pPr>
        <w:ind w:left="3154" w:hanging="288"/>
      </w:pPr>
      <w:rPr>
        <w:rFonts w:ascii="Wingdings" w:hAnsi="Wingdings" w:hint="default"/>
      </w:rPr>
    </w:lvl>
  </w:abstractNum>
  <w:abstractNum w:abstractNumId="8" w15:restartNumberingAfterBreak="0">
    <w:nsid w:val="15602911"/>
    <w:multiLevelType w:val="hybridMultilevel"/>
    <w:tmpl w:val="77CE78E6"/>
    <w:lvl w:ilvl="0" w:tplc="A8E28E4A">
      <w:start w:val="1"/>
      <w:numFmt w:val="bullet"/>
      <w:lvlText w:val="•"/>
      <w:lvlJc w:val="left"/>
      <w:pPr>
        <w:tabs>
          <w:tab w:val="num" w:pos="720"/>
        </w:tabs>
        <w:ind w:left="720" w:hanging="360"/>
      </w:pPr>
      <w:rPr>
        <w:rFonts w:ascii="Times New Roman" w:hAnsi="Times New Roman" w:hint="default"/>
      </w:rPr>
    </w:lvl>
    <w:lvl w:ilvl="1" w:tplc="4716923E" w:tentative="1">
      <w:start w:val="1"/>
      <w:numFmt w:val="bullet"/>
      <w:lvlText w:val="•"/>
      <w:lvlJc w:val="left"/>
      <w:pPr>
        <w:tabs>
          <w:tab w:val="num" w:pos="1440"/>
        </w:tabs>
        <w:ind w:left="1440" w:hanging="360"/>
      </w:pPr>
      <w:rPr>
        <w:rFonts w:ascii="Times New Roman" w:hAnsi="Times New Roman" w:hint="default"/>
      </w:rPr>
    </w:lvl>
    <w:lvl w:ilvl="2" w:tplc="C47C7444" w:tentative="1">
      <w:start w:val="1"/>
      <w:numFmt w:val="bullet"/>
      <w:lvlText w:val="•"/>
      <w:lvlJc w:val="left"/>
      <w:pPr>
        <w:tabs>
          <w:tab w:val="num" w:pos="2160"/>
        </w:tabs>
        <w:ind w:left="2160" w:hanging="360"/>
      </w:pPr>
      <w:rPr>
        <w:rFonts w:ascii="Times New Roman" w:hAnsi="Times New Roman" w:hint="default"/>
      </w:rPr>
    </w:lvl>
    <w:lvl w:ilvl="3" w:tplc="CE74DD1C" w:tentative="1">
      <w:start w:val="1"/>
      <w:numFmt w:val="bullet"/>
      <w:lvlText w:val="•"/>
      <w:lvlJc w:val="left"/>
      <w:pPr>
        <w:tabs>
          <w:tab w:val="num" w:pos="2880"/>
        </w:tabs>
        <w:ind w:left="2880" w:hanging="360"/>
      </w:pPr>
      <w:rPr>
        <w:rFonts w:ascii="Times New Roman" w:hAnsi="Times New Roman" w:hint="default"/>
      </w:rPr>
    </w:lvl>
    <w:lvl w:ilvl="4" w:tplc="05B0962A" w:tentative="1">
      <w:start w:val="1"/>
      <w:numFmt w:val="bullet"/>
      <w:lvlText w:val="•"/>
      <w:lvlJc w:val="left"/>
      <w:pPr>
        <w:tabs>
          <w:tab w:val="num" w:pos="3600"/>
        </w:tabs>
        <w:ind w:left="3600" w:hanging="360"/>
      </w:pPr>
      <w:rPr>
        <w:rFonts w:ascii="Times New Roman" w:hAnsi="Times New Roman" w:hint="default"/>
      </w:rPr>
    </w:lvl>
    <w:lvl w:ilvl="5" w:tplc="630086AC" w:tentative="1">
      <w:start w:val="1"/>
      <w:numFmt w:val="bullet"/>
      <w:lvlText w:val="•"/>
      <w:lvlJc w:val="left"/>
      <w:pPr>
        <w:tabs>
          <w:tab w:val="num" w:pos="4320"/>
        </w:tabs>
        <w:ind w:left="4320" w:hanging="360"/>
      </w:pPr>
      <w:rPr>
        <w:rFonts w:ascii="Times New Roman" w:hAnsi="Times New Roman" w:hint="default"/>
      </w:rPr>
    </w:lvl>
    <w:lvl w:ilvl="6" w:tplc="F4E0F40C" w:tentative="1">
      <w:start w:val="1"/>
      <w:numFmt w:val="bullet"/>
      <w:lvlText w:val="•"/>
      <w:lvlJc w:val="left"/>
      <w:pPr>
        <w:tabs>
          <w:tab w:val="num" w:pos="5040"/>
        </w:tabs>
        <w:ind w:left="5040" w:hanging="360"/>
      </w:pPr>
      <w:rPr>
        <w:rFonts w:ascii="Times New Roman" w:hAnsi="Times New Roman" w:hint="default"/>
      </w:rPr>
    </w:lvl>
    <w:lvl w:ilvl="7" w:tplc="1D746928" w:tentative="1">
      <w:start w:val="1"/>
      <w:numFmt w:val="bullet"/>
      <w:lvlText w:val="•"/>
      <w:lvlJc w:val="left"/>
      <w:pPr>
        <w:tabs>
          <w:tab w:val="num" w:pos="5760"/>
        </w:tabs>
        <w:ind w:left="5760" w:hanging="360"/>
      </w:pPr>
      <w:rPr>
        <w:rFonts w:ascii="Times New Roman" w:hAnsi="Times New Roman" w:hint="default"/>
      </w:rPr>
    </w:lvl>
    <w:lvl w:ilvl="8" w:tplc="C204949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DAD3329"/>
    <w:multiLevelType w:val="multilevel"/>
    <w:tmpl w:val="0A84BF20"/>
    <w:styleLink w:val="EquationList"/>
    <w:lvl w:ilvl="0">
      <w:start w:val="1"/>
      <w:numFmt w:val="decimal"/>
      <w:lvlText w:val="(eq. %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0" w15:restartNumberingAfterBreak="0">
    <w:nsid w:val="21C36AF0"/>
    <w:multiLevelType w:val="hybridMultilevel"/>
    <w:tmpl w:val="968AD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71058C"/>
    <w:multiLevelType w:val="hybridMultilevel"/>
    <w:tmpl w:val="095C786C"/>
    <w:lvl w:ilvl="0" w:tplc="54689C00">
      <w:start w:val="1"/>
      <w:numFmt w:val="bullet"/>
      <w:lvlText w:val="•"/>
      <w:lvlJc w:val="left"/>
      <w:pPr>
        <w:tabs>
          <w:tab w:val="num" w:pos="720"/>
        </w:tabs>
        <w:ind w:left="720" w:hanging="360"/>
      </w:pPr>
      <w:rPr>
        <w:rFonts w:ascii="Times New Roman" w:hAnsi="Times New Roman" w:hint="default"/>
      </w:rPr>
    </w:lvl>
    <w:lvl w:ilvl="1" w:tplc="29A86EEE" w:tentative="1">
      <w:start w:val="1"/>
      <w:numFmt w:val="bullet"/>
      <w:lvlText w:val="•"/>
      <w:lvlJc w:val="left"/>
      <w:pPr>
        <w:tabs>
          <w:tab w:val="num" w:pos="1440"/>
        </w:tabs>
        <w:ind w:left="1440" w:hanging="360"/>
      </w:pPr>
      <w:rPr>
        <w:rFonts w:ascii="Times New Roman" w:hAnsi="Times New Roman" w:hint="default"/>
      </w:rPr>
    </w:lvl>
    <w:lvl w:ilvl="2" w:tplc="3E0CB7CE" w:tentative="1">
      <w:start w:val="1"/>
      <w:numFmt w:val="bullet"/>
      <w:lvlText w:val="•"/>
      <w:lvlJc w:val="left"/>
      <w:pPr>
        <w:tabs>
          <w:tab w:val="num" w:pos="2160"/>
        </w:tabs>
        <w:ind w:left="2160" w:hanging="360"/>
      </w:pPr>
      <w:rPr>
        <w:rFonts w:ascii="Times New Roman" w:hAnsi="Times New Roman" w:hint="default"/>
      </w:rPr>
    </w:lvl>
    <w:lvl w:ilvl="3" w:tplc="CA8850D0" w:tentative="1">
      <w:start w:val="1"/>
      <w:numFmt w:val="bullet"/>
      <w:lvlText w:val="•"/>
      <w:lvlJc w:val="left"/>
      <w:pPr>
        <w:tabs>
          <w:tab w:val="num" w:pos="2880"/>
        </w:tabs>
        <w:ind w:left="2880" w:hanging="360"/>
      </w:pPr>
      <w:rPr>
        <w:rFonts w:ascii="Times New Roman" w:hAnsi="Times New Roman" w:hint="default"/>
      </w:rPr>
    </w:lvl>
    <w:lvl w:ilvl="4" w:tplc="CC7C6956" w:tentative="1">
      <w:start w:val="1"/>
      <w:numFmt w:val="bullet"/>
      <w:lvlText w:val="•"/>
      <w:lvlJc w:val="left"/>
      <w:pPr>
        <w:tabs>
          <w:tab w:val="num" w:pos="3600"/>
        </w:tabs>
        <w:ind w:left="3600" w:hanging="360"/>
      </w:pPr>
      <w:rPr>
        <w:rFonts w:ascii="Times New Roman" w:hAnsi="Times New Roman" w:hint="default"/>
      </w:rPr>
    </w:lvl>
    <w:lvl w:ilvl="5" w:tplc="9D5C7132" w:tentative="1">
      <w:start w:val="1"/>
      <w:numFmt w:val="bullet"/>
      <w:lvlText w:val="•"/>
      <w:lvlJc w:val="left"/>
      <w:pPr>
        <w:tabs>
          <w:tab w:val="num" w:pos="4320"/>
        </w:tabs>
        <w:ind w:left="4320" w:hanging="360"/>
      </w:pPr>
      <w:rPr>
        <w:rFonts w:ascii="Times New Roman" w:hAnsi="Times New Roman" w:hint="default"/>
      </w:rPr>
    </w:lvl>
    <w:lvl w:ilvl="6" w:tplc="F7341364" w:tentative="1">
      <w:start w:val="1"/>
      <w:numFmt w:val="bullet"/>
      <w:lvlText w:val="•"/>
      <w:lvlJc w:val="left"/>
      <w:pPr>
        <w:tabs>
          <w:tab w:val="num" w:pos="5040"/>
        </w:tabs>
        <w:ind w:left="5040" w:hanging="360"/>
      </w:pPr>
      <w:rPr>
        <w:rFonts w:ascii="Times New Roman" w:hAnsi="Times New Roman" w:hint="default"/>
      </w:rPr>
    </w:lvl>
    <w:lvl w:ilvl="7" w:tplc="230624C8" w:tentative="1">
      <w:start w:val="1"/>
      <w:numFmt w:val="bullet"/>
      <w:lvlText w:val="•"/>
      <w:lvlJc w:val="left"/>
      <w:pPr>
        <w:tabs>
          <w:tab w:val="num" w:pos="5760"/>
        </w:tabs>
        <w:ind w:left="5760" w:hanging="360"/>
      </w:pPr>
      <w:rPr>
        <w:rFonts w:ascii="Times New Roman" w:hAnsi="Times New Roman" w:hint="default"/>
      </w:rPr>
    </w:lvl>
    <w:lvl w:ilvl="8" w:tplc="7CD8E19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2B54587"/>
    <w:multiLevelType w:val="hybridMultilevel"/>
    <w:tmpl w:val="441AF006"/>
    <w:styleLink w:val="Itron1"/>
    <w:lvl w:ilvl="0" w:tplc="DC30A318">
      <w:start w:val="1"/>
      <w:numFmt w:val="bullet"/>
      <w:pStyle w:val="bullets"/>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504F3D"/>
    <w:multiLevelType w:val="hybridMultilevel"/>
    <w:tmpl w:val="416AF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1F1768"/>
    <w:multiLevelType w:val="hybridMultilevel"/>
    <w:tmpl w:val="22DE28E2"/>
    <w:styleLink w:val="CnAListBullets1"/>
    <w:lvl w:ilvl="0" w:tplc="F12844A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16" w15:restartNumberingAfterBreak="0">
    <w:nsid w:val="2F6E42CB"/>
    <w:multiLevelType w:val="multilevel"/>
    <w:tmpl w:val="7682BF30"/>
    <w:lvl w:ilvl="0">
      <w:start w:val="1"/>
      <w:numFmt w:val="bullet"/>
      <w:lvlText w:val=""/>
      <w:lvlJc w:val="left"/>
      <w:pPr>
        <w:tabs>
          <w:tab w:val="num" w:pos="720"/>
        </w:tabs>
        <w:ind w:left="720" w:hanging="360"/>
      </w:pPr>
      <w:rPr>
        <w:rFonts w:ascii="Symbol" w:hAnsi="Symbol" w:hint="default"/>
        <w:sz w:val="20"/>
      </w:rPr>
    </w:lvl>
    <w:lvl w:ilvl="1">
      <w:start w:val="1"/>
      <w:numFmt w:val="bullet"/>
      <w:pStyle w:val="ListBullet2"/>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1706EE"/>
    <w:multiLevelType w:val="multilevel"/>
    <w:tmpl w:val="EE16752C"/>
    <w:lvl w:ilvl="0">
      <w:start w:val="1"/>
      <w:numFmt w:val="bullet"/>
      <w:lvlText w:val=""/>
      <w:lvlJc w:val="left"/>
      <w:pPr>
        <w:tabs>
          <w:tab w:val="num" w:pos="720"/>
        </w:tabs>
        <w:ind w:left="720" w:hanging="360"/>
      </w:pPr>
      <w:rPr>
        <w:rFonts w:ascii="Symbol" w:hAnsi="Symbol" w:hint="default"/>
        <w:sz w:val="20"/>
      </w:rPr>
    </w:lvl>
    <w:lvl w:ilvl="1">
      <w:start w:val="1"/>
      <w:numFmt w:val="decimal"/>
      <w:pStyle w:val="NumberedList"/>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B75D14"/>
    <w:multiLevelType w:val="hybridMultilevel"/>
    <w:tmpl w:val="AD7CE7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B20F1A"/>
    <w:multiLevelType w:val="hybridMultilevel"/>
    <w:tmpl w:val="0A108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D3260DF"/>
    <w:multiLevelType w:val="hybridMultilevel"/>
    <w:tmpl w:val="12C0B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0C4C23"/>
    <w:multiLevelType w:val="singleLevel"/>
    <w:tmpl w:val="AA68EDA8"/>
    <w:lvl w:ilvl="0">
      <w:start w:val="1"/>
      <w:numFmt w:val="bullet"/>
      <w:pStyle w:val="bullet"/>
      <w:lvlText w:val=""/>
      <w:lvlJc w:val="left"/>
      <w:pPr>
        <w:tabs>
          <w:tab w:val="num" w:pos="1080"/>
        </w:tabs>
        <w:ind w:left="1080" w:hanging="360"/>
      </w:pPr>
      <w:rPr>
        <w:rFonts w:ascii="Symbol" w:hAnsi="Symbol" w:hint="default"/>
      </w:rPr>
    </w:lvl>
  </w:abstractNum>
  <w:abstractNum w:abstractNumId="22" w15:restartNumberingAfterBreak="0">
    <w:nsid w:val="458F49BD"/>
    <w:multiLevelType w:val="hybridMultilevel"/>
    <w:tmpl w:val="EA241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E1347F"/>
    <w:multiLevelType w:val="hybridMultilevel"/>
    <w:tmpl w:val="51AC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F843BD"/>
    <w:multiLevelType w:val="multilevel"/>
    <w:tmpl w:val="709EC1F0"/>
    <w:styleLink w:val="EquationList1"/>
    <w:lvl w:ilvl="0">
      <w:start w:val="1"/>
      <w:numFmt w:val="decimal"/>
      <w:lvlText w:val="%1."/>
      <w:lvlJc w:val="left"/>
      <w:pPr>
        <w:ind w:left="1080" w:hanging="360"/>
      </w:pPr>
      <w:rPr>
        <w:rFonts w:hint="default"/>
      </w:rPr>
    </w:lvl>
    <w:lvl w:ilvl="1">
      <w:start w:val="28"/>
      <w:numFmt w:val="decimal"/>
      <w:isLgl/>
      <w:lvlText w:val="%1.%2"/>
      <w:lvlJc w:val="left"/>
      <w:pPr>
        <w:ind w:left="1890" w:hanging="72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960" w:hanging="1440"/>
      </w:pPr>
      <w:rPr>
        <w:rFonts w:hint="default"/>
      </w:rPr>
    </w:lvl>
    <w:lvl w:ilvl="5">
      <w:start w:val="1"/>
      <w:numFmt w:val="decimal"/>
      <w:isLgl/>
      <w:lvlText w:val="%1.%2.%3.%4.%5.%6"/>
      <w:lvlJc w:val="left"/>
      <w:pPr>
        <w:ind w:left="4410" w:hanging="1440"/>
      </w:pPr>
      <w:rPr>
        <w:rFonts w:hint="default"/>
      </w:rPr>
    </w:lvl>
    <w:lvl w:ilvl="6">
      <w:start w:val="1"/>
      <w:numFmt w:val="decimal"/>
      <w:isLgl/>
      <w:lvlText w:val="%1.%2.%3.%4.%5.%6.%7"/>
      <w:lvlJc w:val="left"/>
      <w:pPr>
        <w:ind w:left="5220" w:hanging="1800"/>
      </w:pPr>
      <w:rPr>
        <w:rFonts w:hint="default"/>
      </w:rPr>
    </w:lvl>
    <w:lvl w:ilvl="7">
      <w:start w:val="1"/>
      <w:numFmt w:val="decimal"/>
      <w:isLgl/>
      <w:lvlText w:val="%1.%2.%3.%4.%5.%6.%7.%8"/>
      <w:lvlJc w:val="left"/>
      <w:pPr>
        <w:ind w:left="6030" w:hanging="2160"/>
      </w:pPr>
      <w:rPr>
        <w:rFonts w:hint="default"/>
      </w:rPr>
    </w:lvl>
    <w:lvl w:ilvl="8">
      <w:start w:val="1"/>
      <w:numFmt w:val="decimal"/>
      <w:isLgl/>
      <w:lvlText w:val="%1.%2.%3.%4.%5.%6.%7.%8.%9"/>
      <w:lvlJc w:val="left"/>
      <w:pPr>
        <w:ind w:left="6480" w:hanging="2160"/>
      </w:pPr>
      <w:rPr>
        <w:rFonts w:hint="default"/>
      </w:rPr>
    </w:lvl>
  </w:abstractNum>
  <w:abstractNum w:abstractNumId="25" w15:restartNumberingAfterBreak="0">
    <w:nsid w:val="54B1476D"/>
    <w:multiLevelType w:val="hybridMultilevel"/>
    <w:tmpl w:val="A9F82462"/>
    <w:lvl w:ilvl="0" w:tplc="199CE4C6">
      <w:start w:val="1"/>
      <w:numFmt w:val="bullet"/>
      <w:lvlText w:val="•"/>
      <w:lvlJc w:val="left"/>
      <w:pPr>
        <w:tabs>
          <w:tab w:val="num" w:pos="720"/>
        </w:tabs>
        <w:ind w:left="720" w:hanging="360"/>
      </w:pPr>
      <w:rPr>
        <w:rFonts w:ascii="Times New Roman" w:hAnsi="Times New Roman" w:hint="default"/>
      </w:rPr>
    </w:lvl>
    <w:lvl w:ilvl="1" w:tplc="452877FC" w:tentative="1">
      <w:start w:val="1"/>
      <w:numFmt w:val="bullet"/>
      <w:lvlText w:val="•"/>
      <w:lvlJc w:val="left"/>
      <w:pPr>
        <w:tabs>
          <w:tab w:val="num" w:pos="1440"/>
        </w:tabs>
        <w:ind w:left="1440" w:hanging="360"/>
      </w:pPr>
      <w:rPr>
        <w:rFonts w:ascii="Times New Roman" w:hAnsi="Times New Roman" w:hint="default"/>
      </w:rPr>
    </w:lvl>
    <w:lvl w:ilvl="2" w:tplc="5AB89EBC" w:tentative="1">
      <w:start w:val="1"/>
      <w:numFmt w:val="bullet"/>
      <w:lvlText w:val="•"/>
      <w:lvlJc w:val="left"/>
      <w:pPr>
        <w:tabs>
          <w:tab w:val="num" w:pos="2160"/>
        </w:tabs>
        <w:ind w:left="2160" w:hanging="360"/>
      </w:pPr>
      <w:rPr>
        <w:rFonts w:ascii="Times New Roman" w:hAnsi="Times New Roman" w:hint="default"/>
      </w:rPr>
    </w:lvl>
    <w:lvl w:ilvl="3" w:tplc="3460C1F6" w:tentative="1">
      <w:start w:val="1"/>
      <w:numFmt w:val="bullet"/>
      <w:lvlText w:val="•"/>
      <w:lvlJc w:val="left"/>
      <w:pPr>
        <w:tabs>
          <w:tab w:val="num" w:pos="2880"/>
        </w:tabs>
        <w:ind w:left="2880" w:hanging="360"/>
      </w:pPr>
      <w:rPr>
        <w:rFonts w:ascii="Times New Roman" w:hAnsi="Times New Roman" w:hint="default"/>
      </w:rPr>
    </w:lvl>
    <w:lvl w:ilvl="4" w:tplc="8CE24FBC" w:tentative="1">
      <w:start w:val="1"/>
      <w:numFmt w:val="bullet"/>
      <w:lvlText w:val="•"/>
      <w:lvlJc w:val="left"/>
      <w:pPr>
        <w:tabs>
          <w:tab w:val="num" w:pos="3600"/>
        </w:tabs>
        <w:ind w:left="3600" w:hanging="360"/>
      </w:pPr>
      <w:rPr>
        <w:rFonts w:ascii="Times New Roman" w:hAnsi="Times New Roman" w:hint="default"/>
      </w:rPr>
    </w:lvl>
    <w:lvl w:ilvl="5" w:tplc="3ED62AAA" w:tentative="1">
      <w:start w:val="1"/>
      <w:numFmt w:val="bullet"/>
      <w:lvlText w:val="•"/>
      <w:lvlJc w:val="left"/>
      <w:pPr>
        <w:tabs>
          <w:tab w:val="num" w:pos="4320"/>
        </w:tabs>
        <w:ind w:left="4320" w:hanging="360"/>
      </w:pPr>
      <w:rPr>
        <w:rFonts w:ascii="Times New Roman" w:hAnsi="Times New Roman" w:hint="default"/>
      </w:rPr>
    </w:lvl>
    <w:lvl w:ilvl="6" w:tplc="15F60136" w:tentative="1">
      <w:start w:val="1"/>
      <w:numFmt w:val="bullet"/>
      <w:lvlText w:val="•"/>
      <w:lvlJc w:val="left"/>
      <w:pPr>
        <w:tabs>
          <w:tab w:val="num" w:pos="5040"/>
        </w:tabs>
        <w:ind w:left="5040" w:hanging="360"/>
      </w:pPr>
      <w:rPr>
        <w:rFonts w:ascii="Times New Roman" w:hAnsi="Times New Roman" w:hint="default"/>
      </w:rPr>
    </w:lvl>
    <w:lvl w:ilvl="7" w:tplc="CC402EE6" w:tentative="1">
      <w:start w:val="1"/>
      <w:numFmt w:val="bullet"/>
      <w:lvlText w:val="•"/>
      <w:lvlJc w:val="left"/>
      <w:pPr>
        <w:tabs>
          <w:tab w:val="num" w:pos="5760"/>
        </w:tabs>
        <w:ind w:left="5760" w:hanging="360"/>
      </w:pPr>
      <w:rPr>
        <w:rFonts w:ascii="Times New Roman" w:hAnsi="Times New Roman" w:hint="default"/>
      </w:rPr>
    </w:lvl>
    <w:lvl w:ilvl="8" w:tplc="731C68C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507426F"/>
    <w:multiLevelType w:val="hybridMultilevel"/>
    <w:tmpl w:val="51189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C0798A"/>
    <w:multiLevelType w:val="hybridMultilevel"/>
    <w:tmpl w:val="AB22E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BB0EC7"/>
    <w:multiLevelType w:val="multilevel"/>
    <w:tmpl w:val="32AAF29E"/>
    <w:styleLink w:val="EquationNumbering"/>
    <w:lvl w:ilvl="0">
      <w:start w:val="1"/>
      <w:numFmt w:val="decimal"/>
      <w:lvlText w:val="(eq.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64B0D34"/>
    <w:multiLevelType w:val="hybridMultilevel"/>
    <w:tmpl w:val="75FA7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31" w15:restartNumberingAfterBreak="0">
    <w:nsid w:val="72BA1985"/>
    <w:multiLevelType w:val="hybridMultilevel"/>
    <w:tmpl w:val="5470BE5C"/>
    <w:lvl w:ilvl="0" w:tplc="807ED1F8">
      <w:start w:val="1"/>
      <w:numFmt w:val="bullet"/>
      <w:lvlText w:val="•"/>
      <w:lvlJc w:val="left"/>
      <w:pPr>
        <w:tabs>
          <w:tab w:val="num" w:pos="720"/>
        </w:tabs>
        <w:ind w:left="720" w:hanging="360"/>
      </w:pPr>
      <w:rPr>
        <w:rFonts w:ascii="Times New Roman" w:hAnsi="Times New Roman" w:hint="default"/>
      </w:rPr>
    </w:lvl>
    <w:lvl w:ilvl="1" w:tplc="9172417E" w:tentative="1">
      <w:start w:val="1"/>
      <w:numFmt w:val="bullet"/>
      <w:lvlText w:val="•"/>
      <w:lvlJc w:val="left"/>
      <w:pPr>
        <w:tabs>
          <w:tab w:val="num" w:pos="1440"/>
        </w:tabs>
        <w:ind w:left="1440" w:hanging="360"/>
      </w:pPr>
      <w:rPr>
        <w:rFonts w:ascii="Times New Roman" w:hAnsi="Times New Roman" w:hint="default"/>
      </w:rPr>
    </w:lvl>
    <w:lvl w:ilvl="2" w:tplc="0F1A9CCE" w:tentative="1">
      <w:start w:val="1"/>
      <w:numFmt w:val="bullet"/>
      <w:lvlText w:val="•"/>
      <w:lvlJc w:val="left"/>
      <w:pPr>
        <w:tabs>
          <w:tab w:val="num" w:pos="2160"/>
        </w:tabs>
        <w:ind w:left="2160" w:hanging="360"/>
      </w:pPr>
      <w:rPr>
        <w:rFonts w:ascii="Times New Roman" w:hAnsi="Times New Roman" w:hint="default"/>
      </w:rPr>
    </w:lvl>
    <w:lvl w:ilvl="3" w:tplc="0F5A61D2" w:tentative="1">
      <w:start w:val="1"/>
      <w:numFmt w:val="bullet"/>
      <w:lvlText w:val="•"/>
      <w:lvlJc w:val="left"/>
      <w:pPr>
        <w:tabs>
          <w:tab w:val="num" w:pos="2880"/>
        </w:tabs>
        <w:ind w:left="2880" w:hanging="360"/>
      </w:pPr>
      <w:rPr>
        <w:rFonts w:ascii="Times New Roman" w:hAnsi="Times New Roman" w:hint="default"/>
      </w:rPr>
    </w:lvl>
    <w:lvl w:ilvl="4" w:tplc="0DBA0008" w:tentative="1">
      <w:start w:val="1"/>
      <w:numFmt w:val="bullet"/>
      <w:lvlText w:val="•"/>
      <w:lvlJc w:val="left"/>
      <w:pPr>
        <w:tabs>
          <w:tab w:val="num" w:pos="3600"/>
        </w:tabs>
        <w:ind w:left="3600" w:hanging="360"/>
      </w:pPr>
      <w:rPr>
        <w:rFonts w:ascii="Times New Roman" w:hAnsi="Times New Roman" w:hint="default"/>
      </w:rPr>
    </w:lvl>
    <w:lvl w:ilvl="5" w:tplc="8F98529E" w:tentative="1">
      <w:start w:val="1"/>
      <w:numFmt w:val="bullet"/>
      <w:lvlText w:val="•"/>
      <w:lvlJc w:val="left"/>
      <w:pPr>
        <w:tabs>
          <w:tab w:val="num" w:pos="4320"/>
        </w:tabs>
        <w:ind w:left="4320" w:hanging="360"/>
      </w:pPr>
      <w:rPr>
        <w:rFonts w:ascii="Times New Roman" w:hAnsi="Times New Roman" w:hint="default"/>
      </w:rPr>
    </w:lvl>
    <w:lvl w:ilvl="6" w:tplc="0A62994E" w:tentative="1">
      <w:start w:val="1"/>
      <w:numFmt w:val="bullet"/>
      <w:lvlText w:val="•"/>
      <w:lvlJc w:val="left"/>
      <w:pPr>
        <w:tabs>
          <w:tab w:val="num" w:pos="5040"/>
        </w:tabs>
        <w:ind w:left="5040" w:hanging="360"/>
      </w:pPr>
      <w:rPr>
        <w:rFonts w:ascii="Times New Roman" w:hAnsi="Times New Roman" w:hint="default"/>
      </w:rPr>
    </w:lvl>
    <w:lvl w:ilvl="7" w:tplc="C6E27522" w:tentative="1">
      <w:start w:val="1"/>
      <w:numFmt w:val="bullet"/>
      <w:lvlText w:val="•"/>
      <w:lvlJc w:val="left"/>
      <w:pPr>
        <w:tabs>
          <w:tab w:val="num" w:pos="5760"/>
        </w:tabs>
        <w:ind w:left="5760" w:hanging="360"/>
      </w:pPr>
      <w:rPr>
        <w:rFonts w:ascii="Times New Roman" w:hAnsi="Times New Roman" w:hint="default"/>
      </w:rPr>
    </w:lvl>
    <w:lvl w:ilvl="8" w:tplc="1988EC1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54B0B45"/>
    <w:multiLevelType w:val="hybridMultilevel"/>
    <w:tmpl w:val="1C96E784"/>
    <w:styleLink w:val="EquationNumbering1"/>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15:restartNumberingAfterBreak="0">
    <w:nsid w:val="7EB00090"/>
    <w:multiLevelType w:val="multilevel"/>
    <w:tmpl w:val="0B143B2C"/>
    <w:lvl w:ilvl="0">
      <w:start w:val="1"/>
      <w:numFmt w:val="bullet"/>
      <w:lvlText w:val="o"/>
      <w:lvlJc w:val="left"/>
      <w:pPr>
        <w:tabs>
          <w:tab w:val="num" w:pos="1080"/>
        </w:tabs>
        <w:ind w:left="1080" w:hanging="360"/>
      </w:pPr>
      <w:rPr>
        <w:rFonts w:ascii="Courier New" w:hAnsi="Courier New"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pStyle w:val="ListBullet3"/>
      <w:lvlText w:val=""/>
      <w:lvlJc w:val="left"/>
      <w:pPr>
        <w:tabs>
          <w:tab w:val="num" w:pos="2160"/>
        </w:tabs>
        <w:ind w:left="2160" w:hanging="360"/>
      </w:pPr>
      <w:rPr>
        <w:rFonts w:ascii="Wingdings" w:hAnsi="Wingdings" w:hint="default"/>
        <w:sz w:val="20"/>
      </w:rPr>
    </w:lvl>
    <w:lvl w:ilvl="3">
      <w:start w:val="1"/>
      <w:numFmt w:val="bullet"/>
      <w:pStyle w:val="ListBullet4"/>
      <w:lvlText w:val=""/>
      <w:lvlJc w:val="left"/>
      <w:pPr>
        <w:tabs>
          <w:tab w:val="num" w:pos="2880"/>
        </w:tabs>
        <w:ind w:left="2880" w:hanging="360"/>
      </w:pPr>
      <w:rPr>
        <w:rFonts w:ascii="Wingdings" w:hAnsi="Wingdings" w:hint="default"/>
        <w:sz w:val="20"/>
      </w:rPr>
    </w:lvl>
    <w:lvl w:ilvl="4">
      <w:start w:val="1"/>
      <w:numFmt w:val="bullet"/>
      <w:pStyle w:val="ListBullet5"/>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0357DF"/>
    <w:multiLevelType w:val="hybridMultilevel"/>
    <w:tmpl w:val="4C5233E4"/>
    <w:lvl w:ilvl="0" w:tplc="F9FCCAA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17"/>
  </w:num>
  <w:num w:numId="5">
    <w:abstractNumId w:val="34"/>
  </w:num>
  <w:num w:numId="6">
    <w:abstractNumId w:val="16"/>
  </w:num>
  <w:num w:numId="7">
    <w:abstractNumId w:val="33"/>
  </w:num>
  <w:num w:numId="8">
    <w:abstractNumId w:val="21"/>
  </w:num>
  <w:num w:numId="9">
    <w:abstractNumId w:val="12"/>
  </w:num>
  <w:num w:numId="10">
    <w:abstractNumId w:val="30"/>
  </w:num>
  <w:num w:numId="11">
    <w:abstractNumId w:val="15"/>
  </w:num>
  <w:num w:numId="12">
    <w:abstractNumId w:val="28"/>
  </w:num>
  <w:num w:numId="13">
    <w:abstractNumId w:val="9"/>
  </w:num>
  <w:num w:numId="14">
    <w:abstractNumId w:val="14"/>
  </w:num>
  <w:num w:numId="15">
    <w:abstractNumId w:val="32"/>
  </w:num>
  <w:num w:numId="16">
    <w:abstractNumId w:val="24"/>
  </w:num>
  <w:num w:numId="17">
    <w:abstractNumId w:val="4"/>
  </w:num>
  <w:num w:numId="18">
    <w:abstractNumId w:val="10"/>
  </w:num>
  <w:num w:numId="19">
    <w:abstractNumId w:val="23"/>
  </w:num>
  <w:num w:numId="20">
    <w:abstractNumId w:val="20"/>
  </w:num>
  <w:num w:numId="21">
    <w:abstractNumId w:val="27"/>
  </w:num>
  <w:num w:numId="22">
    <w:abstractNumId w:val="19"/>
  </w:num>
  <w:num w:numId="23">
    <w:abstractNumId w:val="26"/>
  </w:num>
  <w:num w:numId="24">
    <w:abstractNumId w:val="29"/>
  </w:num>
  <w:num w:numId="25">
    <w:abstractNumId w:val="2"/>
  </w:num>
  <w:num w:numId="26">
    <w:abstractNumId w:val="8"/>
  </w:num>
  <w:num w:numId="27">
    <w:abstractNumId w:val="5"/>
  </w:num>
  <w:num w:numId="28">
    <w:abstractNumId w:val="25"/>
  </w:num>
  <w:num w:numId="29">
    <w:abstractNumId w:val="6"/>
  </w:num>
  <w:num w:numId="30">
    <w:abstractNumId w:val="3"/>
  </w:num>
  <w:num w:numId="31">
    <w:abstractNumId w:val="11"/>
  </w:num>
  <w:num w:numId="32">
    <w:abstractNumId w:val="31"/>
  </w:num>
  <w:num w:numId="33">
    <w:abstractNumId w:val="18"/>
  </w:num>
  <w:num w:numId="34">
    <w:abstractNumId w:val="13"/>
  </w:num>
  <w:num w:numId="3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Mzc2NzU1Mze1NDZW0lEKTi0uzszPAykwqwUA6ZDGFywAAAA="/>
  </w:docVars>
  <w:rsids>
    <w:rsidRoot w:val="00AB7418"/>
    <w:rsid w:val="0000015D"/>
    <w:rsid w:val="00005A17"/>
    <w:rsid w:val="00006132"/>
    <w:rsid w:val="00006C7B"/>
    <w:rsid w:val="000114E9"/>
    <w:rsid w:val="00011E13"/>
    <w:rsid w:val="00013178"/>
    <w:rsid w:val="00013F85"/>
    <w:rsid w:val="000149CB"/>
    <w:rsid w:val="00025238"/>
    <w:rsid w:val="00026EA0"/>
    <w:rsid w:val="00027F49"/>
    <w:rsid w:val="0003319B"/>
    <w:rsid w:val="00036705"/>
    <w:rsid w:val="000436DA"/>
    <w:rsid w:val="00044145"/>
    <w:rsid w:val="0004419A"/>
    <w:rsid w:val="00050D23"/>
    <w:rsid w:val="00057491"/>
    <w:rsid w:val="00060187"/>
    <w:rsid w:val="000633ED"/>
    <w:rsid w:val="00065AB3"/>
    <w:rsid w:val="00065FB3"/>
    <w:rsid w:val="00070820"/>
    <w:rsid w:val="00070D31"/>
    <w:rsid w:val="00074FEB"/>
    <w:rsid w:val="0008189F"/>
    <w:rsid w:val="00082A9B"/>
    <w:rsid w:val="00084376"/>
    <w:rsid w:val="00086668"/>
    <w:rsid w:val="000915C1"/>
    <w:rsid w:val="000933B6"/>
    <w:rsid w:val="000A10B4"/>
    <w:rsid w:val="000A2B10"/>
    <w:rsid w:val="000A2CC8"/>
    <w:rsid w:val="000B1FEA"/>
    <w:rsid w:val="000C370B"/>
    <w:rsid w:val="000C444B"/>
    <w:rsid w:val="000D248A"/>
    <w:rsid w:val="000D3FD4"/>
    <w:rsid w:val="000D47D4"/>
    <w:rsid w:val="000D68C3"/>
    <w:rsid w:val="000E1660"/>
    <w:rsid w:val="000E1895"/>
    <w:rsid w:val="000E38EF"/>
    <w:rsid w:val="000E72C2"/>
    <w:rsid w:val="000F1546"/>
    <w:rsid w:val="000F1CAC"/>
    <w:rsid w:val="000F3E13"/>
    <w:rsid w:val="000F5D99"/>
    <w:rsid w:val="000F6031"/>
    <w:rsid w:val="000F73C9"/>
    <w:rsid w:val="00100280"/>
    <w:rsid w:val="00101BE6"/>
    <w:rsid w:val="00103EF0"/>
    <w:rsid w:val="00105507"/>
    <w:rsid w:val="00106DA7"/>
    <w:rsid w:val="001118C7"/>
    <w:rsid w:val="00113082"/>
    <w:rsid w:val="00113A81"/>
    <w:rsid w:val="0011449B"/>
    <w:rsid w:val="001208BF"/>
    <w:rsid w:val="00121747"/>
    <w:rsid w:val="0012265D"/>
    <w:rsid w:val="00123E90"/>
    <w:rsid w:val="0013361B"/>
    <w:rsid w:val="001361E2"/>
    <w:rsid w:val="0014083D"/>
    <w:rsid w:val="00150197"/>
    <w:rsid w:val="00154C78"/>
    <w:rsid w:val="001550AA"/>
    <w:rsid w:val="001632A9"/>
    <w:rsid w:val="00164686"/>
    <w:rsid w:val="00171D3D"/>
    <w:rsid w:val="00174BEA"/>
    <w:rsid w:val="001751F4"/>
    <w:rsid w:val="00180958"/>
    <w:rsid w:val="00182983"/>
    <w:rsid w:val="00183542"/>
    <w:rsid w:val="00183BC8"/>
    <w:rsid w:val="00185805"/>
    <w:rsid w:val="00194208"/>
    <w:rsid w:val="001A0230"/>
    <w:rsid w:val="001A5353"/>
    <w:rsid w:val="001A579F"/>
    <w:rsid w:val="001B094D"/>
    <w:rsid w:val="001B0D59"/>
    <w:rsid w:val="001B1584"/>
    <w:rsid w:val="001B3282"/>
    <w:rsid w:val="001B6353"/>
    <w:rsid w:val="001B65A2"/>
    <w:rsid w:val="001C2E07"/>
    <w:rsid w:val="001C500E"/>
    <w:rsid w:val="001C6492"/>
    <w:rsid w:val="001C77FB"/>
    <w:rsid w:val="001D0BCA"/>
    <w:rsid w:val="001E2430"/>
    <w:rsid w:val="001E2FAC"/>
    <w:rsid w:val="001E6CE5"/>
    <w:rsid w:val="001F337A"/>
    <w:rsid w:val="001F3DBF"/>
    <w:rsid w:val="001F702A"/>
    <w:rsid w:val="00206F71"/>
    <w:rsid w:val="00210EEB"/>
    <w:rsid w:val="00210F4B"/>
    <w:rsid w:val="002137BB"/>
    <w:rsid w:val="00213C3F"/>
    <w:rsid w:val="00216A7E"/>
    <w:rsid w:val="002208CC"/>
    <w:rsid w:val="00222D3F"/>
    <w:rsid w:val="002251B7"/>
    <w:rsid w:val="00226692"/>
    <w:rsid w:val="00227BF2"/>
    <w:rsid w:val="00235CAA"/>
    <w:rsid w:val="00243B6F"/>
    <w:rsid w:val="00244013"/>
    <w:rsid w:val="00246313"/>
    <w:rsid w:val="00252D0F"/>
    <w:rsid w:val="002540B2"/>
    <w:rsid w:val="0025415C"/>
    <w:rsid w:val="0025525A"/>
    <w:rsid w:val="002562AB"/>
    <w:rsid w:val="00261F55"/>
    <w:rsid w:val="00263578"/>
    <w:rsid w:val="0026584E"/>
    <w:rsid w:val="00274591"/>
    <w:rsid w:val="00286114"/>
    <w:rsid w:val="002866F6"/>
    <w:rsid w:val="00286C30"/>
    <w:rsid w:val="00290F0F"/>
    <w:rsid w:val="00290FF5"/>
    <w:rsid w:val="00293106"/>
    <w:rsid w:val="002949CD"/>
    <w:rsid w:val="002975AE"/>
    <w:rsid w:val="002A02F6"/>
    <w:rsid w:val="002A2164"/>
    <w:rsid w:val="002A5715"/>
    <w:rsid w:val="002A5C01"/>
    <w:rsid w:val="002A731C"/>
    <w:rsid w:val="002B0212"/>
    <w:rsid w:val="002B3F02"/>
    <w:rsid w:val="002B6AAC"/>
    <w:rsid w:val="002B7341"/>
    <w:rsid w:val="002C21B2"/>
    <w:rsid w:val="002C28BF"/>
    <w:rsid w:val="002D0249"/>
    <w:rsid w:val="002D171A"/>
    <w:rsid w:val="002D19D9"/>
    <w:rsid w:val="002D221D"/>
    <w:rsid w:val="002D63E2"/>
    <w:rsid w:val="002D6696"/>
    <w:rsid w:val="002D77FC"/>
    <w:rsid w:val="002E56CE"/>
    <w:rsid w:val="002E75F8"/>
    <w:rsid w:val="002F12CA"/>
    <w:rsid w:val="002F2D73"/>
    <w:rsid w:val="002F3281"/>
    <w:rsid w:val="002F5E0E"/>
    <w:rsid w:val="002F6B69"/>
    <w:rsid w:val="003037B5"/>
    <w:rsid w:val="00307837"/>
    <w:rsid w:val="00315AA4"/>
    <w:rsid w:val="00317E33"/>
    <w:rsid w:val="00320D1E"/>
    <w:rsid w:val="0032116E"/>
    <w:rsid w:val="00321954"/>
    <w:rsid w:val="00323201"/>
    <w:rsid w:val="0032339D"/>
    <w:rsid w:val="00340AEB"/>
    <w:rsid w:val="00341AAD"/>
    <w:rsid w:val="00341E1F"/>
    <w:rsid w:val="00343C28"/>
    <w:rsid w:val="003463A8"/>
    <w:rsid w:val="003464A6"/>
    <w:rsid w:val="003508EB"/>
    <w:rsid w:val="0035255F"/>
    <w:rsid w:val="00354F59"/>
    <w:rsid w:val="0035664B"/>
    <w:rsid w:val="0035781B"/>
    <w:rsid w:val="00357B49"/>
    <w:rsid w:val="0036106B"/>
    <w:rsid w:val="00363350"/>
    <w:rsid w:val="00367DC3"/>
    <w:rsid w:val="00374E75"/>
    <w:rsid w:val="0037525A"/>
    <w:rsid w:val="00376025"/>
    <w:rsid w:val="003805C8"/>
    <w:rsid w:val="00383536"/>
    <w:rsid w:val="00383F16"/>
    <w:rsid w:val="00385EE5"/>
    <w:rsid w:val="00387C0A"/>
    <w:rsid w:val="00390DBE"/>
    <w:rsid w:val="00391059"/>
    <w:rsid w:val="00391568"/>
    <w:rsid w:val="003928F9"/>
    <w:rsid w:val="00392B0D"/>
    <w:rsid w:val="00393C6A"/>
    <w:rsid w:val="003A0891"/>
    <w:rsid w:val="003A1CAD"/>
    <w:rsid w:val="003B0422"/>
    <w:rsid w:val="003B49E6"/>
    <w:rsid w:val="003B4D7A"/>
    <w:rsid w:val="003B5E09"/>
    <w:rsid w:val="003C0547"/>
    <w:rsid w:val="003C263A"/>
    <w:rsid w:val="003C3844"/>
    <w:rsid w:val="003C6292"/>
    <w:rsid w:val="003C635A"/>
    <w:rsid w:val="003C6C27"/>
    <w:rsid w:val="003D273C"/>
    <w:rsid w:val="003D39BB"/>
    <w:rsid w:val="003D4E72"/>
    <w:rsid w:val="003E1E53"/>
    <w:rsid w:val="003F30AA"/>
    <w:rsid w:val="003F355F"/>
    <w:rsid w:val="003F4DDA"/>
    <w:rsid w:val="003F602D"/>
    <w:rsid w:val="003F71CB"/>
    <w:rsid w:val="00401276"/>
    <w:rsid w:val="004077D2"/>
    <w:rsid w:val="00410FB2"/>
    <w:rsid w:val="0041331B"/>
    <w:rsid w:val="00414455"/>
    <w:rsid w:val="0041452F"/>
    <w:rsid w:val="004228FA"/>
    <w:rsid w:val="00424833"/>
    <w:rsid w:val="00424F59"/>
    <w:rsid w:val="00427542"/>
    <w:rsid w:val="004335DD"/>
    <w:rsid w:val="00434BF5"/>
    <w:rsid w:val="00444827"/>
    <w:rsid w:val="00445CB0"/>
    <w:rsid w:val="00447103"/>
    <w:rsid w:val="0045106A"/>
    <w:rsid w:val="00453246"/>
    <w:rsid w:val="00453AF8"/>
    <w:rsid w:val="004549AB"/>
    <w:rsid w:val="00456315"/>
    <w:rsid w:val="00461001"/>
    <w:rsid w:val="00462717"/>
    <w:rsid w:val="00463398"/>
    <w:rsid w:val="0046453B"/>
    <w:rsid w:val="00466A87"/>
    <w:rsid w:val="004709DF"/>
    <w:rsid w:val="0047717F"/>
    <w:rsid w:val="00481E35"/>
    <w:rsid w:val="0048312E"/>
    <w:rsid w:val="0048412A"/>
    <w:rsid w:val="00484BA6"/>
    <w:rsid w:val="004852A6"/>
    <w:rsid w:val="00491C06"/>
    <w:rsid w:val="00491F55"/>
    <w:rsid w:val="004A2694"/>
    <w:rsid w:val="004A570A"/>
    <w:rsid w:val="004A71A2"/>
    <w:rsid w:val="004B4C64"/>
    <w:rsid w:val="004B60C3"/>
    <w:rsid w:val="004C2E3D"/>
    <w:rsid w:val="004C3C71"/>
    <w:rsid w:val="004C3E83"/>
    <w:rsid w:val="004C4879"/>
    <w:rsid w:val="004C7F7B"/>
    <w:rsid w:val="004D2A23"/>
    <w:rsid w:val="004D3671"/>
    <w:rsid w:val="004D541C"/>
    <w:rsid w:val="004D5807"/>
    <w:rsid w:val="004D5911"/>
    <w:rsid w:val="004D704D"/>
    <w:rsid w:val="004D7D44"/>
    <w:rsid w:val="004E38B2"/>
    <w:rsid w:val="004E447E"/>
    <w:rsid w:val="004E6176"/>
    <w:rsid w:val="004E7A49"/>
    <w:rsid w:val="004F49A8"/>
    <w:rsid w:val="004F5446"/>
    <w:rsid w:val="004F7017"/>
    <w:rsid w:val="005026F6"/>
    <w:rsid w:val="00502740"/>
    <w:rsid w:val="00502CD2"/>
    <w:rsid w:val="00504266"/>
    <w:rsid w:val="0051067F"/>
    <w:rsid w:val="0051326C"/>
    <w:rsid w:val="005164ED"/>
    <w:rsid w:val="0052137F"/>
    <w:rsid w:val="0052346B"/>
    <w:rsid w:val="00523B83"/>
    <w:rsid w:val="005243FE"/>
    <w:rsid w:val="005254BF"/>
    <w:rsid w:val="00525805"/>
    <w:rsid w:val="00526AB6"/>
    <w:rsid w:val="0053004A"/>
    <w:rsid w:val="00530103"/>
    <w:rsid w:val="00532E57"/>
    <w:rsid w:val="0053743E"/>
    <w:rsid w:val="00537EF9"/>
    <w:rsid w:val="00540752"/>
    <w:rsid w:val="00543A90"/>
    <w:rsid w:val="005442F9"/>
    <w:rsid w:val="00547E08"/>
    <w:rsid w:val="005511D7"/>
    <w:rsid w:val="00552AF1"/>
    <w:rsid w:val="00552B06"/>
    <w:rsid w:val="00553BA1"/>
    <w:rsid w:val="00557954"/>
    <w:rsid w:val="00557DCE"/>
    <w:rsid w:val="0056014C"/>
    <w:rsid w:val="00561736"/>
    <w:rsid w:val="005624D1"/>
    <w:rsid w:val="00562E23"/>
    <w:rsid w:val="0056334D"/>
    <w:rsid w:val="00563663"/>
    <w:rsid w:val="00566E33"/>
    <w:rsid w:val="005736CA"/>
    <w:rsid w:val="00583486"/>
    <w:rsid w:val="005841A4"/>
    <w:rsid w:val="005854CA"/>
    <w:rsid w:val="00585A50"/>
    <w:rsid w:val="00592032"/>
    <w:rsid w:val="00592654"/>
    <w:rsid w:val="005931B2"/>
    <w:rsid w:val="005931F5"/>
    <w:rsid w:val="00594734"/>
    <w:rsid w:val="00594904"/>
    <w:rsid w:val="005A1AF0"/>
    <w:rsid w:val="005A3DF2"/>
    <w:rsid w:val="005A42A3"/>
    <w:rsid w:val="005B036F"/>
    <w:rsid w:val="005B2828"/>
    <w:rsid w:val="005B3623"/>
    <w:rsid w:val="005B4461"/>
    <w:rsid w:val="005B5AEE"/>
    <w:rsid w:val="005C0A24"/>
    <w:rsid w:val="005C2100"/>
    <w:rsid w:val="005C461E"/>
    <w:rsid w:val="005C68F2"/>
    <w:rsid w:val="005D2108"/>
    <w:rsid w:val="005D6A2C"/>
    <w:rsid w:val="005E30E1"/>
    <w:rsid w:val="005F05F7"/>
    <w:rsid w:val="005F1B66"/>
    <w:rsid w:val="005F547E"/>
    <w:rsid w:val="005F6D11"/>
    <w:rsid w:val="006008A6"/>
    <w:rsid w:val="00604B35"/>
    <w:rsid w:val="006050BB"/>
    <w:rsid w:val="00605711"/>
    <w:rsid w:val="006111C7"/>
    <w:rsid w:val="0061382B"/>
    <w:rsid w:val="00614692"/>
    <w:rsid w:val="0061552D"/>
    <w:rsid w:val="00615BCD"/>
    <w:rsid w:val="006168A4"/>
    <w:rsid w:val="006219D1"/>
    <w:rsid w:val="00622800"/>
    <w:rsid w:val="00624E78"/>
    <w:rsid w:val="006259DC"/>
    <w:rsid w:val="006332B7"/>
    <w:rsid w:val="00633853"/>
    <w:rsid w:val="00641756"/>
    <w:rsid w:val="00641CA1"/>
    <w:rsid w:val="00642DD3"/>
    <w:rsid w:val="0064315D"/>
    <w:rsid w:val="0064358A"/>
    <w:rsid w:val="00644C97"/>
    <w:rsid w:val="00644FB9"/>
    <w:rsid w:val="00646AA8"/>
    <w:rsid w:val="006564F9"/>
    <w:rsid w:val="00661B87"/>
    <w:rsid w:val="00662552"/>
    <w:rsid w:val="00672B74"/>
    <w:rsid w:val="00673E5C"/>
    <w:rsid w:val="006843A3"/>
    <w:rsid w:val="00684BE2"/>
    <w:rsid w:val="006870AE"/>
    <w:rsid w:val="00690133"/>
    <w:rsid w:val="00690F89"/>
    <w:rsid w:val="006A1FB1"/>
    <w:rsid w:val="006B28E3"/>
    <w:rsid w:val="006B436B"/>
    <w:rsid w:val="006C6B29"/>
    <w:rsid w:val="006C7038"/>
    <w:rsid w:val="006D029A"/>
    <w:rsid w:val="006D0763"/>
    <w:rsid w:val="006D42A5"/>
    <w:rsid w:val="006D460A"/>
    <w:rsid w:val="006E086E"/>
    <w:rsid w:val="006E1913"/>
    <w:rsid w:val="006E3955"/>
    <w:rsid w:val="006F2726"/>
    <w:rsid w:val="0070151F"/>
    <w:rsid w:val="0070390B"/>
    <w:rsid w:val="0070420D"/>
    <w:rsid w:val="00706854"/>
    <w:rsid w:val="00712221"/>
    <w:rsid w:val="0071411B"/>
    <w:rsid w:val="00723913"/>
    <w:rsid w:val="00730AC2"/>
    <w:rsid w:val="0073164F"/>
    <w:rsid w:val="00740639"/>
    <w:rsid w:val="00741FB8"/>
    <w:rsid w:val="00751ED2"/>
    <w:rsid w:val="007551EC"/>
    <w:rsid w:val="007555F5"/>
    <w:rsid w:val="00761B91"/>
    <w:rsid w:val="00763BC8"/>
    <w:rsid w:val="007666F4"/>
    <w:rsid w:val="007671E7"/>
    <w:rsid w:val="00772ED2"/>
    <w:rsid w:val="00777E58"/>
    <w:rsid w:val="00781742"/>
    <w:rsid w:val="00781F2B"/>
    <w:rsid w:val="007827FD"/>
    <w:rsid w:val="00782E7E"/>
    <w:rsid w:val="00783EE2"/>
    <w:rsid w:val="00786482"/>
    <w:rsid w:val="007901E5"/>
    <w:rsid w:val="007915A8"/>
    <w:rsid w:val="0079164E"/>
    <w:rsid w:val="00793EEB"/>
    <w:rsid w:val="0079543D"/>
    <w:rsid w:val="007970A7"/>
    <w:rsid w:val="007A61B0"/>
    <w:rsid w:val="007A6C6B"/>
    <w:rsid w:val="007B5CB1"/>
    <w:rsid w:val="007B6BD7"/>
    <w:rsid w:val="007B7E59"/>
    <w:rsid w:val="007C1994"/>
    <w:rsid w:val="007C5FC0"/>
    <w:rsid w:val="007D02AD"/>
    <w:rsid w:val="007D05B8"/>
    <w:rsid w:val="007D1A21"/>
    <w:rsid w:val="007D5153"/>
    <w:rsid w:val="007D6381"/>
    <w:rsid w:val="007E4C70"/>
    <w:rsid w:val="007E5EAA"/>
    <w:rsid w:val="007E6674"/>
    <w:rsid w:val="007F417E"/>
    <w:rsid w:val="007F6BC0"/>
    <w:rsid w:val="007F6DD3"/>
    <w:rsid w:val="00801D54"/>
    <w:rsid w:val="00803733"/>
    <w:rsid w:val="00805D65"/>
    <w:rsid w:val="008068E2"/>
    <w:rsid w:val="00806BA1"/>
    <w:rsid w:val="00806F6F"/>
    <w:rsid w:val="00807027"/>
    <w:rsid w:val="00807868"/>
    <w:rsid w:val="008139F7"/>
    <w:rsid w:val="008148DB"/>
    <w:rsid w:val="00816FE7"/>
    <w:rsid w:val="008218AC"/>
    <w:rsid w:val="008240B0"/>
    <w:rsid w:val="00832F64"/>
    <w:rsid w:val="0084331A"/>
    <w:rsid w:val="00843557"/>
    <w:rsid w:val="008463E6"/>
    <w:rsid w:val="008516B5"/>
    <w:rsid w:val="00851B7B"/>
    <w:rsid w:val="00852CA6"/>
    <w:rsid w:val="0085432C"/>
    <w:rsid w:val="0085678A"/>
    <w:rsid w:val="00857218"/>
    <w:rsid w:val="00863C5C"/>
    <w:rsid w:val="008664D5"/>
    <w:rsid w:val="00870E10"/>
    <w:rsid w:val="00875457"/>
    <w:rsid w:val="008757A9"/>
    <w:rsid w:val="00875C4A"/>
    <w:rsid w:val="00881F9A"/>
    <w:rsid w:val="0088537E"/>
    <w:rsid w:val="0088551D"/>
    <w:rsid w:val="00885CE9"/>
    <w:rsid w:val="00887F5F"/>
    <w:rsid w:val="00895A37"/>
    <w:rsid w:val="008A1E13"/>
    <w:rsid w:val="008A2029"/>
    <w:rsid w:val="008A6FB4"/>
    <w:rsid w:val="008A71CF"/>
    <w:rsid w:val="008A7620"/>
    <w:rsid w:val="008B132F"/>
    <w:rsid w:val="008B48B7"/>
    <w:rsid w:val="008C0E3C"/>
    <w:rsid w:val="008C42FE"/>
    <w:rsid w:val="008D097D"/>
    <w:rsid w:val="008D3AEF"/>
    <w:rsid w:val="008E057F"/>
    <w:rsid w:val="008E3F9B"/>
    <w:rsid w:val="008E5229"/>
    <w:rsid w:val="008E670F"/>
    <w:rsid w:val="008E7864"/>
    <w:rsid w:val="008F146C"/>
    <w:rsid w:val="008F353C"/>
    <w:rsid w:val="008F46B8"/>
    <w:rsid w:val="008F5493"/>
    <w:rsid w:val="00900BB0"/>
    <w:rsid w:val="00902CDA"/>
    <w:rsid w:val="00910C15"/>
    <w:rsid w:val="00910D75"/>
    <w:rsid w:val="0091144E"/>
    <w:rsid w:val="00911C75"/>
    <w:rsid w:val="009175E5"/>
    <w:rsid w:val="009224D6"/>
    <w:rsid w:val="0092278C"/>
    <w:rsid w:val="0092449D"/>
    <w:rsid w:val="0092633B"/>
    <w:rsid w:val="00927F2A"/>
    <w:rsid w:val="009303B8"/>
    <w:rsid w:val="00933676"/>
    <w:rsid w:val="00943CE4"/>
    <w:rsid w:val="00945231"/>
    <w:rsid w:val="00947E9F"/>
    <w:rsid w:val="009501B9"/>
    <w:rsid w:val="00950200"/>
    <w:rsid w:val="009528C9"/>
    <w:rsid w:val="009544A2"/>
    <w:rsid w:val="009777FF"/>
    <w:rsid w:val="00982231"/>
    <w:rsid w:val="00982D7B"/>
    <w:rsid w:val="00984B5A"/>
    <w:rsid w:val="009868C2"/>
    <w:rsid w:val="009903CD"/>
    <w:rsid w:val="009912D7"/>
    <w:rsid w:val="00992057"/>
    <w:rsid w:val="00992077"/>
    <w:rsid w:val="00995422"/>
    <w:rsid w:val="00995752"/>
    <w:rsid w:val="009A08B5"/>
    <w:rsid w:val="009B1EAB"/>
    <w:rsid w:val="009B2651"/>
    <w:rsid w:val="009B2E6D"/>
    <w:rsid w:val="009B6354"/>
    <w:rsid w:val="009B6F13"/>
    <w:rsid w:val="009B7991"/>
    <w:rsid w:val="009C0218"/>
    <w:rsid w:val="009C1AEC"/>
    <w:rsid w:val="009C2B4C"/>
    <w:rsid w:val="009E1E08"/>
    <w:rsid w:val="009E3707"/>
    <w:rsid w:val="009E63DD"/>
    <w:rsid w:val="009F0C51"/>
    <w:rsid w:val="009F0D7A"/>
    <w:rsid w:val="009F126A"/>
    <w:rsid w:val="009F16AB"/>
    <w:rsid w:val="009F2C75"/>
    <w:rsid w:val="009F3807"/>
    <w:rsid w:val="009F41BB"/>
    <w:rsid w:val="009F6833"/>
    <w:rsid w:val="00A01A04"/>
    <w:rsid w:val="00A0228B"/>
    <w:rsid w:val="00A0573C"/>
    <w:rsid w:val="00A0756E"/>
    <w:rsid w:val="00A07882"/>
    <w:rsid w:val="00A12C97"/>
    <w:rsid w:val="00A13A76"/>
    <w:rsid w:val="00A16345"/>
    <w:rsid w:val="00A1657A"/>
    <w:rsid w:val="00A21CAA"/>
    <w:rsid w:val="00A22A3E"/>
    <w:rsid w:val="00A24CC7"/>
    <w:rsid w:val="00A26241"/>
    <w:rsid w:val="00A30F81"/>
    <w:rsid w:val="00A321AE"/>
    <w:rsid w:val="00A3477E"/>
    <w:rsid w:val="00A35DCA"/>
    <w:rsid w:val="00A36037"/>
    <w:rsid w:val="00A367D8"/>
    <w:rsid w:val="00A3745F"/>
    <w:rsid w:val="00A5226C"/>
    <w:rsid w:val="00A529D2"/>
    <w:rsid w:val="00A6073F"/>
    <w:rsid w:val="00A61E08"/>
    <w:rsid w:val="00A640F1"/>
    <w:rsid w:val="00A705AC"/>
    <w:rsid w:val="00A83F8F"/>
    <w:rsid w:val="00A87700"/>
    <w:rsid w:val="00A918A5"/>
    <w:rsid w:val="00AA5849"/>
    <w:rsid w:val="00AA5F4C"/>
    <w:rsid w:val="00AA7229"/>
    <w:rsid w:val="00AB4E13"/>
    <w:rsid w:val="00AB603A"/>
    <w:rsid w:val="00AB7418"/>
    <w:rsid w:val="00AC139D"/>
    <w:rsid w:val="00AC2A74"/>
    <w:rsid w:val="00AC311E"/>
    <w:rsid w:val="00AC7812"/>
    <w:rsid w:val="00AD4200"/>
    <w:rsid w:val="00AE3D06"/>
    <w:rsid w:val="00AF332C"/>
    <w:rsid w:val="00AF4863"/>
    <w:rsid w:val="00AF554C"/>
    <w:rsid w:val="00AF5B09"/>
    <w:rsid w:val="00B03B1A"/>
    <w:rsid w:val="00B12FC4"/>
    <w:rsid w:val="00B15E35"/>
    <w:rsid w:val="00B16ED4"/>
    <w:rsid w:val="00B214CB"/>
    <w:rsid w:val="00B227F9"/>
    <w:rsid w:val="00B2578C"/>
    <w:rsid w:val="00B274DC"/>
    <w:rsid w:val="00B305EB"/>
    <w:rsid w:val="00B306DB"/>
    <w:rsid w:val="00B321DE"/>
    <w:rsid w:val="00B40C04"/>
    <w:rsid w:val="00B44C9B"/>
    <w:rsid w:val="00B45EA0"/>
    <w:rsid w:val="00B47239"/>
    <w:rsid w:val="00B503A5"/>
    <w:rsid w:val="00B53B73"/>
    <w:rsid w:val="00B57740"/>
    <w:rsid w:val="00B57AD6"/>
    <w:rsid w:val="00B62F2E"/>
    <w:rsid w:val="00B63201"/>
    <w:rsid w:val="00B66329"/>
    <w:rsid w:val="00B82577"/>
    <w:rsid w:val="00BA3F33"/>
    <w:rsid w:val="00BA4169"/>
    <w:rsid w:val="00BA744B"/>
    <w:rsid w:val="00BB7654"/>
    <w:rsid w:val="00BC2B3F"/>
    <w:rsid w:val="00BC488B"/>
    <w:rsid w:val="00BC61DA"/>
    <w:rsid w:val="00BC68E2"/>
    <w:rsid w:val="00BD0682"/>
    <w:rsid w:val="00BD34B0"/>
    <w:rsid w:val="00BD35CB"/>
    <w:rsid w:val="00BD53C7"/>
    <w:rsid w:val="00BD5B8D"/>
    <w:rsid w:val="00BE1101"/>
    <w:rsid w:val="00BE3505"/>
    <w:rsid w:val="00BE648A"/>
    <w:rsid w:val="00BF3A9F"/>
    <w:rsid w:val="00BF4DB7"/>
    <w:rsid w:val="00C04079"/>
    <w:rsid w:val="00C04CDE"/>
    <w:rsid w:val="00C06E5E"/>
    <w:rsid w:val="00C11EBA"/>
    <w:rsid w:val="00C17209"/>
    <w:rsid w:val="00C2252B"/>
    <w:rsid w:val="00C25AF8"/>
    <w:rsid w:val="00C26592"/>
    <w:rsid w:val="00C26B3A"/>
    <w:rsid w:val="00C301EA"/>
    <w:rsid w:val="00C33C3C"/>
    <w:rsid w:val="00C378C3"/>
    <w:rsid w:val="00C37A32"/>
    <w:rsid w:val="00C43ACE"/>
    <w:rsid w:val="00C45B50"/>
    <w:rsid w:val="00C46EFF"/>
    <w:rsid w:val="00C47AE9"/>
    <w:rsid w:val="00C53DF8"/>
    <w:rsid w:val="00C66A33"/>
    <w:rsid w:val="00C6780B"/>
    <w:rsid w:val="00C70CF8"/>
    <w:rsid w:val="00C714AA"/>
    <w:rsid w:val="00C71E50"/>
    <w:rsid w:val="00C72744"/>
    <w:rsid w:val="00C80459"/>
    <w:rsid w:val="00C81A11"/>
    <w:rsid w:val="00C84AB9"/>
    <w:rsid w:val="00C84B88"/>
    <w:rsid w:val="00C85525"/>
    <w:rsid w:val="00C906E8"/>
    <w:rsid w:val="00C90C81"/>
    <w:rsid w:val="00C93A4D"/>
    <w:rsid w:val="00C96369"/>
    <w:rsid w:val="00CA02E3"/>
    <w:rsid w:val="00CA17AD"/>
    <w:rsid w:val="00CA1BCD"/>
    <w:rsid w:val="00CA260C"/>
    <w:rsid w:val="00CA789D"/>
    <w:rsid w:val="00CB46AC"/>
    <w:rsid w:val="00CB53AE"/>
    <w:rsid w:val="00CB771B"/>
    <w:rsid w:val="00CD27F8"/>
    <w:rsid w:val="00CD6FCB"/>
    <w:rsid w:val="00CD77F7"/>
    <w:rsid w:val="00CE2414"/>
    <w:rsid w:val="00CE2979"/>
    <w:rsid w:val="00CE2A13"/>
    <w:rsid w:val="00CF07E4"/>
    <w:rsid w:val="00CF0A51"/>
    <w:rsid w:val="00CF65DA"/>
    <w:rsid w:val="00CF6BAE"/>
    <w:rsid w:val="00D0512A"/>
    <w:rsid w:val="00D0642B"/>
    <w:rsid w:val="00D15190"/>
    <w:rsid w:val="00D1547A"/>
    <w:rsid w:val="00D16CDD"/>
    <w:rsid w:val="00D177B3"/>
    <w:rsid w:val="00D20059"/>
    <w:rsid w:val="00D22921"/>
    <w:rsid w:val="00D24F10"/>
    <w:rsid w:val="00D25ECC"/>
    <w:rsid w:val="00D26A21"/>
    <w:rsid w:val="00D33899"/>
    <w:rsid w:val="00D33C83"/>
    <w:rsid w:val="00D367F3"/>
    <w:rsid w:val="00D379B0"/>
    <w:rsid w:val="00D37B4E"/>
    <w:rsid w:val="00D41371"/>
    <w:rsid w:val="00D41ECA"/>
    <w:rsid w:val="00D45C43"/>
    <w:rsid w:val="00D45C69"/>
    <w:rsid w:val="00D45FFB"/>
    <w:rsid w:val="00D50C13"/>
    <w:rsid w:val="00D5576D"/>
    <w:rsid w:val="00D57952"/>
    <w:rsid w:val="00D63AA9"/>
    <w:rsid w:val="00D641CC"/>
    <w:rsid w:val="00D64FCB"/>
    <w:rsid w:val="00D651F8"/>
    <w:rsid w:val="00D65D33"/>
    <w:rsid w:val="00D67570"/>
    <w:rsid w:val="00D76D30"/>
    <w:rsid w:val="00D774DD"/>
    <w:rsid w:val="00D777FF"/>
    <w:rsid w:val="00D850A3"/>
    <w:rsid w:val="00D9258C"/>
    <w:rsid w:val="00D92C7C"/>
    <w:rsid w:val="00DA0573"/>
    <w:rsid w:val="00DA6970"/>
    <w:rsid w:val="00DA7F09"/>
    <w:rsid w:val="00DB036D"/>
    <w:rsid w:val="00DB10E9"/>
    <w:rsid w:val="00DB15B2"/>
    <w:rsid w:val="00DB52DF"/>
    <w:rsid w:val="00DC048F"/>
    <w:rsid w:val="00DC1607"/>
    <w:rsid w:val="00DC1A07"/>
    <w:rsid w:val="00DC2BB7"/>
    <w:rsid w:val="00DC58EA"/>
    <w:rsid w:val="00DD6780"/>
    <w:rsid w:val="00DE26D6"/>
    <w:rsid w:val="00DE5AE0"/>
    <w:rsid w:val="00DE7962"/>
    <w:rsid w:val="00DF0B67"/>
    <w:rsid w:val="00DF3FFE"/>
    <w:rsid w:val="00DF487B"/>
    <w:rsid w:val="00E01361"/>
    <w:rsid w:val="00E02D52"/>
    <w:rsid w:val="00E055AC"/>
    <w:rsid w:val="00E059E3"/>
    <w:rsid w:val="00E07B39"/>
    <w:rsid w:val="00E15483"/>
    <w:rsid w:val="00E16A49"/>
    <w:rsid w:val="00E206B6"/>
    <w:rsid w:val="00E2358E"/>
    <w:rsid w:val="00E31FA4"/>
    <w:rsid w:val="00E35164"/>
    <w:rsid w:val="00E3590C"/>
    <w:rsid w:val="00E36697"/>
    <w:rsid w:val="00E37DD8"/>
    <w:rsid w:val="00E4251E"/>
    <w:rsid w:val="00E42FD6"/>
    <w:rsid w:val="00E50D53"/>
    <w:rsid w:val="00E53372"/>
    <w:rsid w:val="00E53FC2"/>
    <w:rsid w:val="00E54130"/>
    <w:rsid w:val="00E54641"/>
    <w:rsid w:val="00E579A5"/>
    <w:rsid w:val="00E57D9B"/>
    <w:rsid w:val="00E6155C"/>
    <w:rsid w:val="00E64417"/>
    <w:rsid w:val="00E66509"/>
    <w:rsid w:val="00E67493"/>
    <w:rsid w:val="00E752A2"/>
    <w:rsid w:val="00E75B00"/>
    <w:rsid w:val="00E80F1E"/>
    <w:rsid w:val="00E817D7"/>
    <w:rsid w:val="00E817F0"/>
    <w:rsid w:val="00E856F3"/>
    <w:rsid w:val="00E933FC"/>
    <w:rsid w:val="00EA27D6"/>
    <w:rsid w:val="00EA3525"/>
    <w:rsid w:val="00EA450F"/>
    <w:rsid w:val="00EB30F6"/>
    <w:rsid w:val="00EC3E55"/>
    <w:rsid w:val="00ED445B"/>
    <w:rsid w:val="00ED54C7"/>
    <w:rsid w:val="00ED585F"/>
    <w:rsid w:val="00ED6B1D"/>
    <w:rsid w:val="00EE494D"/>
    <w:rsid w:val="00EE4A99"/>
    <w:rsid w:val="00EF03F2"/>
    <w:rsid w:val="00EF48EE"/>
    <w:rsid w:val="00F03750"/>
    <w:rsid w:val="00F05F13"/>
    <w:rsid w:val="00F239BA"/>
    <w:rsid w:val="00F25ECD"/>
    <w:rsid w:val="00F335AE"/>
    <w:rsid w:val="00F36CCC"/>
    <w:rsid w:val="00F36DBF"/>
    <w:rsid w:val="00F4023F"/>
    <w:rsid w:val="00F40C70"/>
    <w:rsid w:val="00F425FA"/>
    <w:rsid w:val="00F42FE1"/>
    <w:rsid w:val="00F430C5"/>
    <w:rsid w:val="00F43BCE"/>
    <w:rsid w:val="00F447F1"/>
    <w:rsid w:val="00F46C19"/>
    <w:rsid w:val="00F50528"/>
    <w:rsid w:val="00F516D4"/>
    <w:rsid w:val="00F53A0A"/>
    <w:rsid w:val="00F54204"/>
    <w:rsid w:val="00F54B4E"/>
    <w:rsid w:val="00F57423"/>
    <w:rsid w:val="00F717BE"/>
    <w:rsid w:val="00F822D0"/>
    <w:rsid w:val="00F826EE"/>
    <w:rsid w:val="00F91313"/>
    <w:rsid w:val="00F92426"/>
    <w:rsid w:val="00F9356A"/>
    <w:rsid w:val="00FA5218"/>
    <w:rsid w:val="00FA5550"/>
    <w:rsid w:val="00FB05A7"/>
    <w:rsid w:val="00FB08AB"/>
    <w:rsid w:val="00FB26D7"/>
    <w:rsid w:val="00FB4B43"/>
    <w:rsid w:val="00FB5106"/>
    <w:rsid w:val="00FB7D60"/>
    <w:rsid w:val="00FC17E6"/>
    <w:rsid w:val="00FC210E"/>
    <w:rsid w:val="00FC39A7"/>
    <w:rsid w:val="00FD11C4"/>
    <w:rsid w:val="00FD15A0"/>
    <w:rsid w:val="00FD1ED7"/>
    <w:rsid w:val="00FD29E6"/>
    <w:rsid w:val="00FD6064"/>
    <w:rsid w:val="00FE04C2"/>
    <w:rsid w:val="00FE09D6"/>
    <w:rsid w:val="00FE1228"/>
    <w:rsid w:val="00FE240A"/>
    <w:rsid w:val="00FE2464"/>
    <w:rsid w:val="00FE2755"/>
    <w:rsid w:val="00FE3E6E"/>
    <w:rsid w:val="00FF0377"/>
    <w:rsid w:val="00FF61E5"/>
    <w:rsid w:val="39BED740"/>
    <w:rsid w:val="45140E22"/>
    <w:rsid w:val="5F800230"/>
    <w:rsid w:val="7C636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11EAD"/>
  <w15:docId w15:val="{A914C56B-950E-47E7-9AC2-B3813DFC8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locked="1"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iPriority="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 w:qFormat="1"/>
    <w:lsdException w:name="Intense Emphasis" w:uiPriority="3"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F71"/>
    <w:pPr>
      <w:spacing w:before="180"/>
    </w:pPr>
    <w:rPr>
      <w:rFonts w:ascii="Arial" w:hAnsi="Arial" w:cs="Arial"/>
      <w:sz w:val="22"/>
    </w:rPr>
  </w:style>
  <w:style w:type="paragraph" w:styleId="Heading1">
    <w:name w:val="heading 1"/>
    <w:aliases w:val="TT - Heading 1"/>
    <w:basedOn w:val="Header"/>
    <w:next w:val="Normal"/>
    <w:link w:val="Heading1Char"/>
    <w:qFormat/>
    <w:rsid w:val="00532E57"/>
    <w:pPr>
      <w:keepNext/>
      <w:keepLines/>
      <w:tabs>
        <w:tab w:val="clear" w:pos="4320"/>
      </w:tabs>
      <w:spacing w:before="360"/>
      <w:outlineLvl w:val="0"/>
    </w:pPr>
    <w:rPr>
      <w:b/>
      <w:caps/>
      <w:color w:val="003478"/>
      <w:sz w:val="28"/>
      <w:szCs w:val="28"/>
    </w:rPr>
  </w:style>
  <w:style w:type="paragraph" w:styleId="Heading2">
    <w:name w:val="heading 2"/>
    <w:aliases w:val="TT - Heading 2"/>
    <w:basedOn w:val="Header"/>
    <w:next w:val="Normal"/>
    <w:link w:val="Heading2Char"/>
    <w:qFormat/>
    <w:rsid w:val="00532E57"/>
    <w:pPr>
      <w:tabs>
        <w:tab w:val="clear" w:pos="4320"/>
      </w:tabs>
      <w:spacing w:before="300"/>
      <w:outlineLvl w:val="1"/>
    </w:pPr>
    <w:rPr>
      <w:rFonts w:ascii="Arial Bold" w:hAnsi="Arial Bold"/>
      <w:b/>
      <w:caps/>
      <w:color w:val="939598"/>
      <w:sz w:val="24"/>
      <w:szCs w:val="24"/>
    </w:rPr>
  </w:style>
  <w:style w:type="paragraph" w:styleId="Heading3">
    <w:name w:val="heading 3"/>
    <w:aliases w:val="TT - Heading 3"/>
    <w:basedOn w:val="Normal"/>
    <w:next w:val="Normal"/>
    <w:link w:val="Heading3Char"/>
    <w:qFormat/>
    <w:locked/>
    <w:rsid w:val="005D2108"/>
    <w:pPr>
      <w:keepNext/>
      <w:spacing w:before="240" w:after="60"/>
      <w:outlineLvl w:val="2"/>
    </w:pPr>
    <w:rPr>
      <w:b/>
      <w:bCs/>
      <w:sz w:val="24"/>
      <w:szCs w:val="22"/>
    </w:rPr>
  </w:style>
  <w:style w:type="paragraph" w:styleId="Heading4">
    <w:name w:val="heading 4"/>
    <w:aliases w:val="TT - Heading 4"/>
    <w:basedOn w:val="Heading3"/>
    <w:next w:val="Normal"/>
    <w:link w:val="Heading4Char"/>
    <w:qFormat/>
    <w:locked/>
    <w:rsid w:val="005D2108"/>
    <w:pPr>
      <w:keepLines/>
      <w:spacing w:after="120"/>
      <w:outlineLvl w:val="3"/>
    </w:pPr>
    <w:rPr>
      <w:rFonts w:eastAsiaTheme="majorEastAsia" w:cstheme="majorBidi"/>
      <w:bCs w:val="0"/>
      <w:i/>
      <w:iCs/>
      <w:color w:val="000000" w:themeColor="text1"/>
      <w:sz w:val="22"/>
    </w:rPr>
  </w:style>
  <w:style w:type="paragraph" w:styleId="Heading5">
    <w:name w:val="heading 5"/>
    <w:aliases w:val="TT - Heading 5"/>
    <w:basedOn w:val="Normal"/>
    <w:next w:val="Normal"/>
    <w:link w:val="Heading5Char"/>
    <w:unhideWhenUsed/>
    <w:qFormat/>
    <w:locked/>
    <w:rsid w:val="00C906E8"/>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aliases w:val="TT - Heading 6"/>
    <w:basedOn w:val="Normal"/>
    <w:next w:val="Normal"/>
    <w:link w:val="Heading6Char"/>
    <w:unhideWhenUsed/>
    <w:qFormat/>
    <w:locked/>
    <w:rsid w:val="00C906E8"/>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aliases w:val="TT - Heading 7"/>
    <w:basedOn w:val="Heading6"/>
    <w:next w:val="Normal"/>
    <w:link w:val="Heading7Char"/>
    <w:qFormat/>
    <w:locked/>
    <w:rsid w:val="00B15E35"/>
    <w:pPr>
      <w:keepLines w:val="0"/>
      <w:spacing w:before="240"/>
      <w:outlineLvl w:val="6"/>
    </w:pPr>
    <w:rPr>
      <w:rFonts w:ascii="Arial" w:eastAsia="Times New Roman" w:hAnsi="Arial" w:cs="Arial"/>
      <w:i/>
      <w:color w:val="auto"/>
      <w:sz w:val="26"/>
      <w:szCs w:val="26"/>
      <w:u w:val="single"/>
    </w:rPr>
  </w:style>
  <w:style w:type="paragraph" w:styleId="Heading8">
    <w:name w:val="heading 8"/>
    <w:aliases w:val="TT - Heading 8"/>
    <w:basedOn w:val="Heading3"/>
    <w:next w:val="Normal"/>
    <w:link w:val="Heading8Char"/>
    <w:qFormat/>
    <w:locked/>
    <w:rsid w:val="00B15E35"/>
    <w:pPr>
      <w:spacing w:before="260" w:after="0"/>
      <w:ind w:left="1440" w:hanging="1440"/>
      <w:outlineLvl w:val="7"/>
    </w:pPr>
    <w:rPr>
      <w:rFonts w:cs="Times New Roman"/>
      <w:bCs w:val="0"/>
      <w:i/>
      <w:kern w:val="28"/>
      <w:sz w:val="28"/>
      <w:szCs w:val="20"/>
    </w:rPr>
  </w:style>
  <w:style w:type="paragraph" w:styleId="Heading9">
    <w:name w:val="heading 9"/>
    <w:aliases w:val="Appx Heading 3"/>
    <w:basedOn w:val="Normal"/>
    <w:next w:val="Normal"/>
    <w:link w:val="Heading9Char"/>
    <w:qFormat/>
    <w:locked/>
    <w:rsid w:val="00B15E35"/>
    <w:pPr>
      <w:keepNext/>
      <w:spacing w:before="240"/>
      <w:ind w:left="1584" w:hanging="1584"/>
      <w:outlineLvl w:val="8"/>
    </w:pPr>
    <w:rPr>
      <w:rFonts w:cs="Times New Roman"/>
      <w:kern w:val="28"/>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T - Header"/>
    <w:basedOn w:val="Normal"/>
    <w:link w:val="HeaderChar"/>
    <w:qFormat/>
    <w:rsid w:val="00323201"/>
    <w:pPr>
      <w:tabs>
        <w:tab w:val="center" w:pos="4320"/>
        <w:tab w:val="right" w:pos="8640"/>
      </w:tabs>
    </w:pPr>
  </w:style>
  <w:style w:type="paragraph" w:styleId="Footer">
    <w:name w:val="footer"/>
    <w:aliases w:val="TT - Footer"/>
    <w:basedOn w:val="Normal"/>
    <w:link w:val="FooterChar"/>
    <w:uiPriority w:val="99"/>
    <w:qFormat/>
    <w:rsid w:val="00AB4E13"/>
    <w:pPr>
      <w:tabs>
        <w:tab w:val="center" w:pos="4320"/>
        <w:tab w:val="right" w:pos="8640"/>
      </w:tabs>
      <w:jc w:val="right"/>
    </w:pPr>
    <w:rPr>
      <w:rFonts w:ascii="Gill Sans MT" w:hAnsi="Gill Sans MT"/>
      <w:color w:val="939598"/>
      <w:sz w:val="16"/>
      <w:szCs w:val="16"/>
    </w:rPr>
  </w:style>
  <w:style w:type="character" w:styleId="PageNumber">
    <w:name w:val="page number"/>
    <w:basedOn w:val="DefaultParagraphFont"/>
    <w:uiPriority w:val="99"/>
    <w:rsid w:val="005B4461"/>
    <w:rPr>
      <w:rFonts w:cs="Times New Roman"/>
    </w:rPr>
  </w:style>
  <w:style w:type="paragraph" w:styleId="BalloonText">
    <w:name w:val="Balloon Text"/>
    <w:basedOn w:val="Normal"/>
    <w:link w:val="BalloonTextChar"/>
    <w:rsid w:val="00706854"/>
    <w:rPr>
      <w:rFonts w:ascii="Tahoma" w:hAnsi="Tahoma"/>
      <w:sz w:val="16"/>
      <w:szCs w:val="16"/>
    </w:rPr>
  </w:style>
  <w:style w:type="table" w:styleId="TableGrid">
    <w:name w:val="Table Grid"/>
    <w:basedOn w:val="TableNormal"/>
    <w:uiPriority w:val="59"/>
    <w:rsid w:val="00EE4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FaxCell">
    <w:name w:val="Tel/Fax/Cell"/>
    <w:basedOn w:val="Footer"/>
    <w:rsid w:val="00E752A2"/>
    <w:rPr>
      <w:color w:val="5C93C6"/>
      <w:sz w:val="17"/>
    </w:rPr>
  </w:style>
  <w:style w:type="character" w:styleId="Hyperlink">
    <w:name w:val="Hyperlink"/>
    <w:basedOn w:val="DefaultParagraphFont"/>
    <w:uiPriority w:val="99"/>
    <w:rsid w:val="00B82577"/>
    <w:rPr>
      <w:rFonts w:cs="Times New Roman"/>
      <w:color w:val="0000FF"/>
      <w:u w:val="single"/>
    </w:rPr>
  </w:style>
  <w:style w:type="paragraph" w:customStyle="1" w:styleId="TableHeadings">
    <w:name w:val="Table Headings"/>
    <w:basedOn w:val="Normal"/>
    <w:rsid w:val="0092278C"/>
    <w:pPr>
      <w:spacing w:before="60"/>
    </w:pPr>
    <w:rPr>
      <w:rFonts w:ascii="GillSans" w:hAnsi="GillSans"/>
      <w:b/>
    </w:rPr>
  </w:style>
  <w:style w:type="paragraph" w:customStyle="1" w:styleId="Subject">
    <w:name w:val="Subject"/>
    <w:basedOn w:val="Normal"/>
    <w:rsid w:val="00320D1E"/>
    <w:pPr>
      <w:spacing w:before="60"/>
    </w:pPr>
    <w:rPr>
      <w:b/>
      <w:caps/>
    </w:rPr>
  </w:style>
  <w:style w:type="paragraph" w:customStyle="1" w:styleId="Memorandum">
    <w:name w:val="Memorandum"/>
    <w:rsid w:val="0092278C"/>
    <w:pPr>
      <w:jc w:val="center"/>
    </w:pPr>
    <w:rPr>
      <w:rFonts w:ascii="GillSans" w:hAnsi="GillSans" w:cs="Tahoma"/>
      <w:b/>
      <w:spacing w:val="30"/>
    </w:rPr>
  </w:style>
  <w:style w:type="paragraph" w:customStyle="1" w:styleId="From">
    <w:name w:val="From"/>
    <w:basedOn w:val="Normal"/>
    <w:rsid w:val="00320D1E"/>
    <w:pPr>
      <w:spacing w:before="60" w:after="40"/>
    </w:pPr>
  </w:style>
  <w:style w:type="paragraph" w:customStyle="1" w:styleId="PADate">
    <w:name w:val="PA Date"/>
    <w:basedOn w:val="Normal"/>
    <w:rsid w:val="00320D1E"/>
    <w:pPr>
      <w:spacing w:before="280" w:after="240"/>
    </w:pPr>
  </w:style>
  <w:style w:type="character" w:customStyle="1" w:styleId="HeaderChar">
    <w:name w:val="Header Char"/>
    <w:aliases w:val="TT - Header Char"/>
    <w:basedOn w:val="DefaultParagraphFont"/>
    <w:link w:val="Header"/>
    <w:rsid w:val="00557954"/>
    <w:rPr>
      <w:rFonts w:ascii="Franklin Gothic Book" w:hAnsi="Franklin Gothic Book"/>
      <w:szCs w:val="24"/>
      <w:lang w:val="en-US" w:eastAsia="en-US" w:bidi="ar-SA"/>
    </w:rPr>
  </w:style>
  <w:style w:type="character" w:customStyle="1" w:styleId="Heading1Char">
    <w:name w:val="Heading 1 Char"/>
    <w:aliases w:val="TT - Heading 1 Char"/>
    <w:basedOn w:val="HeaderChar"/>
    <w:link w:val="Heading1"/>
    <w:rsid w:val="00532E57"/>
    <w:rPr>
      <w:rFonts w:ascii="Arial" w:hAnsi="Arial" w:cs="Arial"/>
      <w:b/>
      <w:caps/>
      <w:color w:val="003478"/>
      <w:sz w:val="28"/>
      <w:szCs w:val="28"/>
      <w:lang w:val="en-US" w:eastAsia="en-US" w:bidi="ar-SA"/>
    </w:rPr>
  </w:style>
  <w:style w:type="paragraph" w:styleId="ListParagraph">
    <w:name w:val="List Paragraph"/>
    <w:aliases w:val="TT - Numbered List Paragraph,TT - List Paragraph,Resume Bullett"/>
    <w:basedOn w:val="Normal"/>
    <w:link w:val="ListParagraphChar"/>
    <w:uiPriority w:val="34"/>
    <w:qFormat/>
    <w:rsid w:val="00174BEA"/>
    <w:pPr>
      <w:spacing w:before="0"/>
      <w:ind w:left="720"/>
      <w:contextualSpacing/>
    </w:pPr>
    <w:rPr>
      <w:rFonts w:asciiTheme="minorHAnsi" w:eastAsiaTheme="minorHAnsi" w:hAnsiTheme="minorHAnsi" w:cstheme="minorBidi"/>
      <w:szCs w:val="22"/>
    </w:rPr>
  </w:style>
  <w:style w:type="paragraph" w:styleId="ListBullet">
    <w:name w:val="List Bullet"/>
    <w:basedOn w:val="Normal"/>
    <w:qFormat/>
    <w:rsid w:val="00D777FF"/>
    <w:pPr>
      <w:numPr>
        <w:numId w:val="5"/>
      </w:numPr>
      <w:spacing w:before="160"/>
    </w:pPr>
  </w:style>
  <w:style w:type="paragraph" w:styleId="ListBullet2">
    <w:name w:val="List Bullet 2"/>
    <w:basedOn w:val="ListBullet"/>
    <w:next w:val="ListBullet"/>
    <w:link w:val="ListBullet2Char"/>
    <w:rsid w:val="009F2C75"/>
    <w:pPr>
      <w:numPr>
        <w:ilvl w:val="1"/>
        <w:numId w:val="6"/>
      </w:numPr>
      <w:spacing w:after="160"/>
    </w:pPr>
    <w:rPr>
      <w:lang w:eastAsia="en-GB"/>
    </w:rPr>
  </w:style>
  <w:style w:type="paragraph" w:styleId="Caption">
    <w:name w:val="caption"/>
    <w:basedOn w:val="Normal"/>
    <w:next w:val="Normal"/>
    <w:link w:val="CaptionChar"/>
    <w:qFormat/>
    <w:locked/>
    <w:rsid w:val="0036106B"/>
    <w:pPr>
      <w:keepNext/>
      <w:keepLines/>
      <w:spacing w:before="120" w:after="60"/>
      <w:jc w:val="center"/>
    </w:pPr>
    <w:rPr>
      <w:rFonts w:eastAsiaTheme="minorEastAsia" w:cstheme="minorBidi"/>
      <w:b/>
      <w:bCs/>
      <w:sz w:val="20"/>
      <w:szCs w:val="18"/>
    </w:rPr>
  </w:style>
  <w:style w:type="paragraph" w:styleId="ListBullet3">
    <w:name w:val="List Bullet 3"/>
    <w:basedOn w:val="ListBullet"/>
    <w:link w:val="ListBullet3Char"/>
    <w:uiPriority w:val="99"/>
    <w:rsid w:val="009F2C75"/>
    <w:pPr>
      <w:numPr>
        <w:ilvl w:val="2"/>
        <w:numId w:val="7"/>
      </w:numPr>
      <w:spacing w:after="160"/>
    </w:pPr>
    <w:rPr>
      <w:lang w:eastAsia="en-GB"/>
    </w:rPr>
  </w:style>
  <w:style w:type="paragraph" w:styleId="ListBullet4">
    <w:name w:val="List Bullet 4"/>
    <w:basedOn w:val="ListBullet3"/>
    <w:rsid w:val="002D171A"/>
    <w:pPr>
      <w:numPr>
        <w:ilvl w:val="3"/>
      </w:numPr>
      <w:tabs>
        <w:tab w:val="left" w:pos="1701"/>
      </w:tabs>
    </w:pPr>
  </w:style>
  <w:style w:type="paragraph" w:styleId="ListNumber">
    <w:name w:val="List Number"/>
    <w:basedOn w:val="ListBullet"/>
    <w:rsid w:val="00D22921"/>
    <w:pPr>
      <w:numPr>
        <w:numId w:val="1"/>
      </w:numPr>
    </w:pPr>
    <w:rPr>
      <w:lang w:eastAsia="en-GB"/>
    </w:rPr>
  </w:style>
  <w:style w:type="paragraph" w:styleId="ListNumber2">
    <w:name w:val="List Number 2"/>
    <w:basedOn w:val="ListBullet2"/>
    <w:rsid w:val="00D22921"/>
    <w:pPr>
      <w:numPr>
        <w:numId w:val="1"/>
      </w:numPr>
    </w:pPr>
  </w:style>
  <w:style w:type="paragraph" w:styleId="ListNumber3">
    <w:name w:val="List Number 3"/>
    <w:basedOn w:val="ListBullet3"/>
    <w:rsid w:val="00D22921"/>
    <w:pPr>
      <w:numPr>
        <w:numId w:val="1"/>
      </w:numPr>
    </w:pPr>
  </w:style>
  <w:style w:type="paragraph" w:styleId="EndnoteText">
    <w:name w:val="endnote text"/>
    <w:basedOn w:val="Normal"/>
    <w:link w:val="EndnoteTextChar"/>
    <w:uiPriority w:val="99"/>
    <w:rsid w:val="00A6073F"/>
    <w:pPr>
      <w:spacing w:before="0"/>
    </w:pPr>
  </w:style>
  <w:style w:type="character" w:customStyle="1" w:styleId="EndnoteTextChar">
    <w:name w:val="Endnote Text Char"/>
    <w:basedOn w:val="DefaultParagraphFont"/>
    <w:link w:val="EndnoteText"/>
    <w:uiPriority w:val="99"/>
    <w:rsid w:val="00A6073F"/>
    <w:rPr>
      <w:rFonts w:ascii="Helvetica" w:hAnsi="Helvetica"/>
    </w:rPr>
  </w:style>
  <w:style w:type="character" w:customStyle="1" w:styleId="IntenseEmphasisBlue">
    <w:name w:val="Intense Emphasis Blue"/>
    <w:basedOn w:val="IntenseEmphasis"/>
    <w:uiPriority w:val="3"/>
    <w:qFormat/>
    <w:rsid w:val="008218AC"/>
    <w:rPr>
      <w:b/>
      <w:bCs/>
      <w:i/>
      <w:iCs/>
      <w:color w:val="005596"/>
    </w:rPr>
  </w:style>
  <w:style w:type="character" w:styleId="IntenseEmphasis">
    <w:name w:val="Intense Emphasis"/>
    <w:basedOn w:val="DefaultParagraphFont"/>
    <w:uiPriority w:val="3"/>
    <w:qFormat/>
    <w:rsid w:val="008218AC"/>
    <w:rPr>
      <w:i/>
      <w:iCs/>
      <w:color w:val="4F81BD" w:themeColor="accent1"/>
    </w:rPr>
  </w:style>
  <w:style w:type="paragraph" w:customStyle="1" w:styleId="TtHeader-Title1">
    <w:name w:val="Tt Header - Title 1"/>
    <w:basedOn w:val="Heading1"/>
    <w:link w:val="TtHeader-Title1Char"/>
    <w:uiPriority w:val="74"/>
    <w:qFormat/>
    <w:rsid w:val="008218AC"/>
    <w:pPr>
      <w:tabs>
        <w:tab w:val="clear" w:pos="8640"/>
        <w:tab w:val="left" w:pos="1800"/>
      </w:tabs>
      <w:spacing w:before="0"/>
      <w:jc w:val="right"/>
    </w:pPr>
    <w:rPr>
      <w:rFonts w:ascii="Gill Sans MT" w:eastAsiaTheme="majorEastAsia" w:hAnsi="Gill Sans MT" w:cstheme="majorBidi"/>
      <w:b w:val="0"/>
      <w:sz w:val="72"/>
      <w:szCs w:val="72"/>
    </w:rPr>
  </w:style>
  <w:style w:type="character" w:customStyle="1" w:styleId="TtHeader-Title1Char">
    <w:name w:val="Tt Header - Title 1 Char"/>
    <w:basedOn w:val="Heading1Char"/>
    <w:link w:val="TtHeader-Title1"/>
    <w:uiPriority w:val="74"/>
    <w:rsid w:val="008218AC"/>
    <w:rPr>
      <w:rFonts w:ascii="Gill Sans MT" w:eastAsiaTheme="majorEastAsia" w:hAnsi="Gill Sans MT" w:cstheme="majorBidi"/>
      <w:b w:val="0"/>
      <w:caps/>
      <w:color w:val="005596"/>
      <w:sz w:val="72"/>
      <w:szCs w:val="72"/>
      <w:lang w:val="en-US" w:eastAsia="en-US" w:bidi="ar-SA"/>
    </w:rPr>
  </w:style>
  <w:style w:type="character" w:styleId="Emphasis">
    <w:name w:val="Emphasis"/>
    <w:basedOn w:val="DefaultParagraphFont"/>
    <w:uiPriority w:val="20"/>
    <w:qFormat/>
    <w:locked/>
    <w:rsid w:val="00E817F0"/>
    <w:rPr>
      <w:i/>
      <w:iCs/>
      <w:color w:val="005596"/>
    </w:rPr>
  </w:style>
  <w:style w:type="paragraph" w:styleId="NoSpacing">
    <w:name w:val="No Spacing"/>
    <w:aliases w:val="Table Spacing"/>
    <w:link w:val="NoSpacingChar"/>
    <w:uiPriority w:val="1"/>
    <w:qFormat/>
    <w:rsid w:val="00E817F0"/>
    <w:pPr>
      <w:spacing w:before="60" w:after="60"/>
    </w:pPr>
    <w:rPr>
      <w:rFonts w:ascii="Arial" w:eastAsiaTheme="minorEastAsia" w:hAnsi="Arial" w:cstheme="minorBidi"/>
      <w:szCs w:val="24"/>
    </w:rPr>
  </w:style>
  <w:style w:type="paragraph" w:customStyle="1" w:styleId="TableBullet">
    <w:name w:val="Table Bullet"/>
    <w:basedOn w:val="ListBullet"/>
    <w:qFormat/>
    <w:rsid w:val="00E817F0"/>
    <w:pPr>
      <w:numPr>
        <w:numId w:val="2"/>
      </w:numPr>
      <w:spacing w:before="60" w:after="160"/>
    </w:pPr>
    <w:rPr>
      <w:sz w:val="18"/>
      <w:szCs w:val="18"/>
      <w:lang w:eastAsia="en-GB"/>
    </w:rPr>
  </w:style>
  <w:style w:type="paragraph" w:customStyle="1" w:styleId="TableBullet2">
    <w:name w:val="Table Bullet 2"/>
    <w:basedOn w:val="ListBullet2"/>
    <w:uiPriority w:val="6"/>
    <w:qFormat/>
    <w:rsid w:val="00E817F0"/>
    <w:pPr>
      <w:numPr>
        <w:ilvl w:val="0"/>
        <w:numId w:val="3"/>
      </w:numPr>
      <w:spacing w:before="60"/>
      <w:contextualSpacing/>
    </w:pPr>
    <w:rPr>
      <w:sz w:val="18"/>
      <w:szCs w:val="18"/>
    </w:rPr>
  </w:style>
  <w:style w:type="character" w:styleId="SubtleEmphasis">
    <w:name w:val="Subtle Emphasis"/>
    <w:basedOn w:val="DefaultParagraphFont"/>
    <w:uiPriority w:val="3"/>
    <w:qFormat/>
    <w:rsid w:val="00E817F0"/>
    <w:rPr>
      <w:i/>
      <w:iCs/>
      <w:color w:val="auto"/>
    </w:rPr>
  </w:style>
  <w:style w:type="table" w:customStyle="1" w:styleId="TableCustom">
    <w:name w:val="Table Custom"/>
    <w:basedOn w:val="TableNormal"/>
    <w:uiPriority w:val="99"/>
    <w:rsid w:val="00A0228B"/>
    <w:rPr>
      <w:rFonts w:asciiTheme="minorHAnsi" w:eastAsiaTheme="minorEastAsia" w:hAnsiTheme="minorHAnsi" w:cstheme="minorBidi"/>
      <w:szCs w:val="24"/>
    </w:rPr>
    <w:tblPr>
      <w:tblStyleRowBandSize w:val="1"/>
      <w:tblStyleColBandSize w:val="1"/>
      <w:tblBorders>
        <w:top w:val="single" w:sz="12" w:space="0" w:color="005596"/>
        <w:bottom w:val="single" w:sz="12" w:space="0" w:color="005596"/>
        <w:insideH w:val="single" w:sz="4" w:space="0" w:color="B8CCE4" w:themeColor="accent1" w:themeTint="66"/>
        <w:insideV w:val="single" w:sz="4" w:space="0" w:color="B8CCE4" w:themeColor="accent1" w:themeTint="66"/>
      </w:tblBorders>
      <w:tblCellMar>
        <w:top w:w="43" w:type="dxa"/>
        <w:left w:w="115" w:type="dxa"/>
        <w:bottom w:w="43" w:type="dxa"/>
        <w:right w:w="115" w:type="dxa"/>
      </w:tblCellMar>
    </w:tblPr>
    <w:tcPr>
      <w:shd w:val="clear" w:color="auto" w:fill="auto"/>
    </w:tcPr>
    <w:tblStylePr w:type="firstRow">
      <w:rPr>
        <w:rFonts w:ascii="Arial" w:hAnsi="Arial"/>
        <w:b/>
        <w:color w:val="FFFFFF" w:themeColor="background1"/>
        <w:sz w:val="20"/>
      </w:rPr>
      <w:tblPr/>
      <w:tcPr>
        <w:shd w:val="clear" w:color="auto" w:fill="005596"/>
      </w:tcPr>
    </w:tblStylePr>
    <w:tblStylePr w:type="lastRow">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il"/>
          <w:insideV w:val="single" w:sz="4" w:space="0" w:color="BFBFBF" w:themeColor="background1" w:themeShade="BF"/>
          <w:tl2br w:val="nil"/>
          <w:tr2bl w:val="nil"/>
        </w:tcBorders>
      </w:tcPr>
    </w:tblStylePr>
    <w:tblStylePr w:type="firstCol">
      <w:rPr>
        <w:b w:val="0"/>
      </w:rPr>
      <w:tblPr/>
      <w:tcPr>
        <w:shd w:val="clear" w:color="auto" w:fill="EDF2F4"/>
      </w:tcPr>
    </w:tblStylePr>
    <w:tblStylePr w:type="lastCol">
      <w:tblPr/>
      <w:tcPr>
        <w:shd w:val="clear" w:color="auto" w:fill="EDF2F4"/>
      </w:tcPr>
    </w:tblStylePr>
    <w:tblStylePr w:type="band1Vert">
      <w:tblPr/>
      <w:tcPr>
        <w:shd w:val="clear" w:color="auto" w:fill="EDF2F4"/>
      </w:tcPr>
    </w:tblStylePr>
    <w:tblStylePr w:type="band1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il"/>
          <w:insideV w:val="single" w:sz="4" w:space="0" w:color="BFBFBF" w:themeColor="background1" w:themeShade="BF"/>
          <w:tl2br w:val="nil"/>
          <w:tr2bl w:val="nil"/>
        </w:tcBorders>
        <w:shd w:val="clear" w:color="auto" w:fill="auto"/>
      </w:tcPr>
    </w:tblStylePr>
    <w:tblStylePr w:type="band2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clear" w:color="auto" w:fill="auto"/>
      </w:tcPr>
    </w:tblStylePr>
  </w:style>
  <w:style w:type="character" w:customStyle="1" w:styleId="NoSpacingChar">
    <w:name w:val="No Spacing Char"/>
    <w:aliases w:val="Table Spacing Char"/>
    <w:basedOn w:val="DefaultParagraphFont"/>
    <w:link w:val="NoSpacing"/>
    <w:uiPriority w:val="1"/>
    <w:rsid w:val="00E817F0"/>
    <w:rPr>
      <w:rFonts w:ascii="Arial" w:eastAsiaTheme="minorEastAsia" w:hAnsi="Arial" w:cstheme="minorBidi"/>
      <w:szCs w:val="24"/>
    </w:rPr>
  </w:style>
  <w:style w:type="character" w:customStyle="1" w:styleId="Heading4Char">
    <w:name w:val="Heading 4 Char"/>
    <w:aliases w:val="TT - Heading 4 Char"/>
    <w:basedOn w:val="DefaultParagraphFont"/>
    <w:link w:val="Heading4"/>
    <w:rsid w:val="005D2108"/>
    <w:rPr>
      <w:rFonts w:ascii="Arial" w:eastAsiaTheme="majorEastAsia" w:hAnsi="Arial" w:cstheme="majorBidi"/>
      <w:b/>
      <w:i/>
      <w:iCs/>
      <w:color w:val="000000" w:themeColor="text1"/>
      <w:sz w:val="22"/>
      <w:szCs w:val="22"/>
    </w:rPr>
  </w:style>
  <w:style w:type="character" w:customStyle="1" w:styleId="Heading2Char">
    <w:name w:val="Heading 2 Char"/>
    <w:aliases w:val="TT - Heading 2 Char"/>
    <w:basedOn w:val="DefaultParagraphFont"/>
    <w:link w:val="Heading2"/>
    <w:rsid w:val="00532E57"/>
    <w:rPr>
      <w:rFonts w:ascii="Arial Bold" w:hAnsi="Arial Bold" w:cs="Arial"/>
      <w:b/>
      <w:caps/>
      <w:color w:val="939598"/>
      <w:sz w:val="24"/>
      <w:szCs w:val="24"/>
    </w:rPr>
  </w:style>
  <w:style w:type="character" w:customStyle="1" w:styleId="Heading3Char">
    <w:name w:val="Heading 3 Char"/>
    <w:aliases w:val="TT - Heading 3 Char"/>
    <w:basedOn w:val="DefaultParagraphFont"/>
    <w:link w:val="Heading3"/>
    <w:rsid w:val="005D2108"/>
    <w:rPr>
      <w:rFonts w:ascii="Arial" w:hAnsi="Arial" w:cs="Arial"/>
      <w:b/>
      <w:bCs/>
      <w:sz w:val="24"/>
      <w:szCs w:val="22"/>
    </w:rPr>
  </w:style>
  <w:style w:type="paragraph" w:styleId="ListBullet5">
    <w:name w:val="List Bullet 5"/>
    <w:basedOn w:val="ListBullet"/>
    <w:uiPriority w:val="4"/>
    <w:unhideWhenUsed/>
    <w:rsid w:val="00CF65DA"/>
    <w:pPr>
      <w:numPr>
        <w:ilvl w:val="4"/>
        <w:numId w:val="7"/>
      </w:numPr>
      <w:spacing w:after="160"/>
    </w:pPr>
    <w:rPr>
      <w:lang w:eastAsia="en-GB"/>
    </w:rPr>
  </w:style>
  <w:style w:type="character" w:styleId="Strong">
    <w:name w:val="Strong"/>
    <w:basedOn w:val="DefaultParagraphFont"/>
    <w:uiPriority w:val="22"/>
    <w:qFormat/>
    <w:locked/>
    <w:rsid w:val="00CF65DA"/>
    <w:rPr>
      <w:b/>
      <w:bCs/>
    </w:rPr>
  </w:style>
  <w:style w:type="paragraph" w:customStyle="1" w:styleId="TableNoSpacing">
    <w:name w:val="Table No Spacing"/>
    <w:basedOn w:val="Normal"/>
    <w:uiPriority w:val="6"/>
    <w:qFormat/>
    <w:rsid w:val="00761B91"/>
    <w:pPr>
      <w:spacing w:before="0"/>
    </w:pPr>
    <w:rPr>
      <w:rFonts w:eastAsiaTheme="minorEastAsia" w:cstheme="minorBidi"/>
      <w:sz w:val="20"/>
    </w:rPr>
  </w:style>
  <w:style w:type="character" w:styleId="CommentReference">
    <w:name w:val="annotation reference"/>
    <w:aliases w:val="TT - Comment Reference"/>
    <w:basedOn w:val="DefaultParagraphFont"/>
    <w:uiPriority w:val="99"/>
    <w:unhideWhenUsed/>
    <w:qFormat/>
    <w:rsid w:val="00CF65DA"/>
    <w:rPr>
      <w:sz w:val="16"/>
      <w:szCs w:val="16"/>
    </w:rPr>
  </w:style>
  <w:style w:type="paragraph" w:styleId="CommentText">
    <w:name w:val="annotation text"/>
    <w:basedOn w:val="Normal"/>
    <w:link w:val="CommentTextChar"/>
    <w:uiPriority w:val="99"/>
    <w:unhideWhenUsed/>
    <w:rsid w:val="00CF65DA"/>
    <w:pPr>
      <w:spacing w:before="0" w:after="120"/>
    </w:pPr>
    <w:rPr>
      <w:rFonts w:eastAsiaTheme="minorEastAsia" w:cstheme="minorBidi"/>
    </w:rPr>
  </w:style>
  <w:style w:type="character" w:customStyle="1" w:styleId="CommentTextChar">
    <w:name w:val="Comment Text Char"/>
    <w:basedOn w:val="DefaultParagraphFont"/>
    <w:link w:val="CommentText"/>
    <w:uiPriority w:val="99"/>
    <w:rsid w:val="00CF65DA"/>
    <w:rPr>
      <w:rFonts w:ascii="Arial" w:eastAsiaTheme="minorEastAsia" w:hAnsi="Arial" w:cstheme="minorBidi"/>
    </w:rPr>
  </w:style>
  <w:style w:type="paragraph" w:customStyle="1" w:styleId="ListBullet20">
    <w:name w:val="ListBullet 2"/>
    <w:basedOn w:val="ListBullet2"/>
    <w:link w:val="ListBullet2Char0"/>
    <w:uiPriority w:val="1"/>
    <w:qFormat/>
    <w:rsid w:val="00CF65DA"/>
  </w:style>
  <w:style w:type="paragraph" w:customStyle="1" w:styleId="ListBullet30">
    <w:name w:val="ListBullet3"/>
    <w:basedOn w:val="ListBullet3"/>
    <w:link w:val="ListBullet3Char0"/>
    <w:uiPriority w:val="1"/>
    <w:qFormat/>
    <w:rsid w:val="00CF65DA"/>
  </w:style>
  <w:style w:type="character" w:customStyle="1" w:styleId="ListBullet2Char0">
    <w:name w:val="ListBullet 2 Char"/>
    <w:basedOn w:val="DefaultParagraphFont"/>
    <w:link w:val="ListBullet20"/>
    <w:uiPriority w:val="1"/>
    <w:rsid w:val="00CF65DA"/>
    <w:rPr>
      <w:rFonts w:ascii="Arial" w:hAnsi="Arial" w:cs="Arial"/>
      <w:sz w:val="22"/>
      <w:lang w:eastAsia="en-GB"/>
    </w:rPr>
  </w:style>
  <w:style w:type="character" w:customStyle="1" w:styleId="ListBullet3Char0">
    <w:name w:val="ListBullet3 Char"/>
    <w:basedOn w:val="DefaultParagraphFont"/>
    <w:link w:val="ListBullet30"/>
    <w:uiPriority w:val="1"/>
    <w:rsid w:val="00CF65DA"/>
    <w:rPr>
      <w:rFonts w:ascii="Arial" w:hAnsi="Arial" w:cs="Arial"/>
      <w:sz w:val="22"/>
      <w:lang w:eastAsia="en-GB"/>
    </w:rPr>
  </w:style>
  <w:style w:type="paragraph" w:customStyle="1" w:styleId="NumberedList">
    <w:name w:val="Numbered List"/>
    <w:basedOn w:val="Normal"/>
    <w:uiPriority w:val="1"/>
    <w:qFormat/>
    <w:rsid w:val="00CF65DA"/>
    <w:pPr>
      <w:numPr>
        <w:ilvl w:val="1"/>
        <w:numId w:val="4"/>
      </w:numPr>
      <w:spacing w:before="0" w:after="120"/>
    </w:pPr>
    <w:rPr>
      <w:lang w:eastAsia="en-GB"/>
    </w:rPr>
  </w:style>
  <w:style w:type="paragraph" w:styleId="Quote">
    <w:name w:val="Quote"/>
    <w:basedOn w:val="Normal"/>
    <w:next w:val="Normal"/>
    <w:link w:val="QuoteChar"/>
    <w:uiPriority w:val="29"/>
    <w:qFormat/>
    <w:rsid w:val="00CF65DA"/>
    <w:pPr>
      <w:spacing w:before="200" w:after="160"/>
      <w:ind w:left="864" w:right="864"/>
      <w:jc w:val="center"/>
    </w:pPr>
    <w:rPr>
      <w:rFonts w:ascii="Helvetica" w:hAnsi="Helvetica"/>
      <w:i/>
      <w:iCs/>
      <w:color w:val="404040" w:themeColor="text1" w:themeTint="BF"/>
    </w:rPr>
  </w:style>
  <w:style w:type="character" w:customStyle="1" w:styleId="QuoteChar">
    <w:name w:val="Quote Char"/>
    <w:basedOn w:val="DefaultParagraphFont"/>
    <w:link w:val="Quote"/>
    <w:uiPriority w:val="29"/>
    <w:rsid w:val="00CF65DA"/>
    <w:rPr>
      <w:rFonts w:ascii="Helvetica" w:hAnsi="Helvetica"/>
      <w:i/>
      <w:iCs/>
      <w:color w:val="404040" w:themeColor="text1" w:themeTint="BF"/>
    </w:rPr>
  </w:style>
  <w:style w:type="paragraph" w:customStyle="1" w:styleId="Footnote">
    <w:name w:val="Footnote"/>
    <w:basedOn w:val="Normal"/>
    <w:link w:val="FootnoteChar"/>
    <w:qFormat/>
    <w:rsid w:val="00401276"/>
    <w:pPr>
      <w:spacing w:before="0"/>
      <w:ind w:left="130" w:hanging="130"/>
    </w:pPr>
    <w:rPr>
      <w:rFonts w:eastAsiaTheme="minorEastAsia" w:cstheme="minorBidi"/>
      <w:sz w:val="20"/>
    </w:rPr>
  </w:style>
  <w:style w:type="paragraph" w:customStyle="1" w:styleId="ListBullet1">
    <w:name w:val="List Bullet 1"/>
    <w:basedOn w:val="ListBullet"/>
    <w:link w:val="ListBullet1Char"/>
    <w:uiPriority w:val="1"/>
    <w:semiHidden/>
    <w:rsid w:val="009F2C75"/>
    <w:pPr>
      <w:numPr>
        <w:numId w:val="0"/>
      </w:numPr>
      <w:spacing w:after="160"/>
      <w:ind w:left="720" w:hanging="360"/>
    </w:pPr>
    <w:rPr>
      <w:lang w:eastAsia="en-GB"/>
    </w:rPr>
  </w:style>
  <w:style w:type="character" w:customStyle="1" w:styleId="ListBullet1Char">
    <w:name w:val="List Bullet 1 Char"/>
    <w:basedOn w:val="DefaultParagraphFont"/>
    <w:link w:val="ListBullet1"/>
    <w:uiPriority w:val="1"/>
    <w:semiHidden/>
    <w:rsid w:val="009F2C75"/>
    <w:rPr>
      <w:rFonts w:ascii="Arial" w:hAnsi="Arial" w:cs="Arial"/>
      <w:sz w:val="22"/>
      <w:lang w:eastAsia="en-GB"/>
    </w:rPr>
  </w:style>
  <w:style w:type="character" w:customStyle="1" w:styleId="ListBullet2Char">
    <w:name w:val="List Bullet 2 Char"/>
    <w:basedOn w:val="DefaultParagraphFont"/>
    <w:link w:val="ListBullet2"/>
    <w:rsid w:val="009F2C75"/>
    <w:rPr>
      <w:rFonts w:ascii="Arial" w:hAnsi="Arial" w:cs="Arial"/>
      <w:sz w:val="22"/>
      <w:lang w:eastAsia="en-GB"/>
    </w:rPr>
  </w:style>
  <w:style w:type="character" w:customStyle="1" w:styleId="ListBullet3Char">
    <w:name w:val="List Bullet 3 Char"/>
    <w:basedOn w:val="DefaultParagraphFont"/>
    <w:link w:val="ListBullet3"/>
    <w:uiPriority w:val="99"/>
    <w:rsid w:val="009F2C75"/>
    <w:rPr>
      <w:rFonts w:ascii="Arial" w:hAnsi="Arial" w:cs="Arial"/>
      <w:sz w:val="22"/>
      <w:lang w:eastAsia="en-GB"/>
    </w:rPr>
  </w:style>
  <w:style w:type="paragraph" w:customStyle="1" w:styleId="Footnoteover10">
    <w:name w:val="Footnote over 10"/>
    <w:basedOn w:val="Footnote"/>
    <w:uiPriority w:val="1"/>
    <w:qFormat/>
    <w:rsid w:val="00401276"/>
    <w:pPr>
      <w:ind w:left="216" w:hanging="216"/>
    </w:pPr>
  </w:style>
  <w:style w:type="character" w:customStyle="1" w:styleId="FootnoteChar">
    <w:name w:val="Footnote Char"/>
    <w:basedOn w:val="DefaultParagraphFont"/>
    <w:link w:val="Footnote"/>
    <w:rsid w:val="00401276"/>
    <w:rPr>
      <w:rFonts w:ascii="Arial" w:eastAsiaTheme="minorEastAsia" w:hAnsi="Arial" w:cstheme="minorBidi"/>
    </w:rPr>
  </w:style>
  <w:style w:type="paragraph" w:styleId="CommentSubject">
    <w:name w:val="annotation subject"/>
    <w:basedOn w:val="CommentText"/>
    <w:next w:val="CommentText"/>
    <w:link w:val="CommentSubjectChar"/>
    <w:unhideWhenUsed/>
    <w:rsid w:val="002F6B69"/>
    <w:pPr>
      <w:spacing w:before="180" w:after="0"/>
    </w:pPr>
    <w:rPr>
      <w:rFonts w:eastAsia="Times New Roman" w:cs="Arial"/>
      <w:b/>
      <w:bCs/>
      <w:sz w:val="20"/>
    </w:rPr>
  </w:style>
  <w:style w:type="character" w:customStyle="1" w:styleId="CommentSubjectChar">
    <w:name w:val="Comment Subject Char"/>
    <w:basedOn w:val="CommentTextChar"/>
    <w:link w:val="CommentSubject"/>
    <w:rsid w:val="002F6B69"/>
    <w:rPr>
      <w:rFonts w:ascii="Arial" w:eastAsiaTheme="minorEastAsia" w:hAnsi="Arial" w:cs="Arial"/>
      <w:b/>
      <w:bCs/>
    </w:rPr>
  </w:style>
  <w:style w:type="paragraph" w:styleId="FootnoteText">
    <w:name w:val="footnote text"/>
    <w:aliases w:val="Footnote Text1 Char,Footnote Text Char Ch,Char2 Char,Footnote Text Char Ch Char Char Char,Footnote Text Char Ch Char Char,Footnote Text1 Char Char Char,ft Char,ft,ALTS FOOTNOTE,fn,Footnote Text 2,Footnote text,FOOTNOTE"/>
    <w:basedOn w:val="Normal"/>
    <w:link w:val="FootnoteTextChar"/>
    <w:uiPriority w:val="99"/>
    <w:unhideWhenUsed/>
    <w:qFormat/>
    <w:rsid w:val="005F6D11"/>
    <w:pPr>
      <w:spacing w:before="0"/>
    </w:pPr>
    <w:rPr>
      <w:sz w:val="20"/>
    </w:rPr>
  </w:style>
  <w:style w:type="character" w:customStyle="1" w:styleId="FootnoteTextChar">
    <w:name w:val="Footnote Text Char"/>
    <w:aliases w:val="Footnote Text1 Char Char,Footnote Text Char Ch Char,Char2 Char Char,Footnote Text Char Ch Char Char Char Char,Footnote Text Char Ch Char Char Char1,Footnote Text1 Char Char Char Char,ft Char Char,ft Char1,ALTS FOOTNOTE Char,fn Char"/>
    <w:basedOn w:val="DefaultParagraphFont"/>
    <w:link w:val="FootnoteText"/>
    <w:uiPriority w:val="99"/>
    <w:rsid w:val="005F6D11"/>
    <w:rPr>
      <w:rFonts w:ascii="Arial" w:hAnsi="Arial" w:cs="Arial"/>
    </w:rPr>
  </w:style>
  <w:style w:type="character" w:styleId="FootnoteReference">
    <w:name w:val="footnote reference"/>
    <w:aliases w:val="o,fr,Footnote_Reference"/>
    <w:basedOn w:val="DefaultParagraphFont"/>
    <w:uiPriority w:val="99"/>
    <w:unhideWhenUsed/>
    <w:qFormat/>
    <w:rsid w:val="005F6D11"/>
    <w:rPr>
      <w:vertAlign w:val="superscript"/>
    </w:rPr>
  </w:style>
  <w:style w:type="character" w:styleId="UnresolvedMention">
    <w:name w:val="Unresolved Mention"/>
    <w:basedOn w:val="DefaultParagraphFont"/>
    <w:uiPriority w:val="99"/>
    <w:unhideWhenUsed/>
    <w:rsid w:val="005F6D11"/>
    <w:rPr>
      <w:color w:val="808080"/>
      <w:shd w:val="clear" w:color="auto" w:fill="E6E6E6"/>
    </w:rPr>
  </w:style>
  <w:style w:type="character" w:customStyle="1" w:styleId="Heading5Char">
    <w:name w:val="Heading 5 Char"/>
    <w:aliases w:val="TT - Heading 5 Char"/>
    <w:basedOn w:val="DefaultParagraphFont"/>
    <w:link w:val="Heading5"/>
    <w:rsid w:val="00C906E8"/>
    <w:rPr>
      <w:rFonts w:asciiTheme="majorHAnsi" w:eastAsiaTheme="majorEastAsia" w:hAnsiTheme="majorHAnsi" w:cstheme="majorBidi"/>
      <w:color w:val="365F91" w:themeColor="accent1" w:themeShade="BF"/>
      <w:sz w:val="22"/>
    </w:rPr>
  </w:style>
  <w:style w:type="character" w:customStyle="1" w:styleId="Heading6Char">
    <w:name w:val="Heading 6 Char"/>
    <w:aliases w:val="TT - Heading 6 Char"/>
    <w:basedOn w:val="DefaultParagraphFont"/>
    <w:link w:val="Heading6"/>
    <w:rsid w:val="00C906E8"/>
    <w:rPr>
      <w:rFonts w:asciiTheme="majorHAnsi" w:eastAsiaTheme="majorEastAsia" w:hAnsiTheme="majorHAnsi" w:cstheme="majorBidi"/>
      <w:color w:val="243F60" w:themeColor="accent1" w:themeShade="7F"/>
      <w:sz w:val="22"/>
    </w:rPr>
  </w:style>
  <w:style w:type="character" w:customStyle="1" w:styleId="Heading7Char">
    <w:name w:val="Heading 7 Char"/>
    <w:aliases w:val="TT - Heading 7 Char"/>
    <w:basedOn w:val="DefaultParagraphFont"/>
    <w:link w:val="Heading7"/>
    <w:rsid w:val="00B15E35"/>
    <w:rPr>
      <w:rFonts w:ascii="Arial" w:hAnsi="Arial" w:cs="Arial"/>
      <w:i/>
      <w:sz w:val="26"/>
      <w:szCs w:val="26"/>
      <w:u w:val="single"/>
    </w:rPr>
  </w:style>
  <w:style w:type="character" w:customStyle="1" w:styleId="Heading8Char">
    <w:name w:val="Heading 8 Char"/>
    <w:aliases w:val="TT - Heading 8 Char"/>
    <w:basedOn w:val="DefaultParagraphFont"/>
    <w:link w:val="Heading8"/>
    <w:rsid w:val="00B15E35"/>
    <w:rPr>
      <w:rFonts w:ascii="Arial" w:hAnsi="Arial"/>
      <w:b/>
      <w:i/>
      <w:kern w:val="28"/>
      <w:sz w:val="28"/>
    </w:rPr>
  </w:style>
  <w:style w:type="character" w:customStyle="1" w:styleId="Heading9Char">
    <w:name w:val="Heading 9 Char"/>
    <w:aliases w:val="Appx Heading 3 Char"/>
    <w:basedOn w:val="DefaultParagraphFont"/>
    <w:link w:val="Heading9"/>
    <w:rsid w:val="00B15E35"/>
    <w:rPr>
      <w:rFonts w:ascii="Arial" w:hAnsi="Arial"/>
      <w:kern w:val="28"/>
    </w:rPr>
  </w:style>
  <w:style w:type="character" w:customStyle="1" w:styleId="FooterChar">
    <w:name w:val="Footer Char"/>
    <w:aliases w:val="TT - Footer Char"/>
    <w:link w:val="Footer"/>
    <w:uiPriority w:val="99"/>
    <w:rsid w:val="00B15E35"/>
    <w:rPr>
      <w:rFonts w:ascii="Gill Sans MT" w:hAnsi="Gill Sans MT" w:cs="Arial"/>
      <w:color w:val="939598"/>
      <w:sz w:val="16"/>
      <w:szCs w:val="16"/>
    </w:rPr>
  </w:style>
  <w:style w:type="character" w:customStyle="1" w:styleId="BalloonTextChar">
    <w:name w:val="Balloon Text Char"/>
    <w:link w:val="BalloonText"/>
    <w:rsid w:val="00B15E35"/>
    <w:rPr>
      <w:rFonts w:ascii="Tahoma" w:hAnsi="Tahoma" w:cs="Arial"/>
      <w:sz w:val="16"/>
      <w:szCs w:val="16"/>
    </w:rPr>
  </w:style>
  <w:style w:type="paragraph" w:customStyle="1" w:styleId="CoverNarrative">
    <w:name w:val="Cover Narrative"/>
    <w:basedOn w:val="Normal"/>
    <w:link w:val="CoverNarrativeChar"/>
    <w:rsid w:val="00B15E35"/>
    <w:pPr>
      <w:shd w:val="solid" w:color="FFFFFF" w:fill="FFFFFF"/>
      <w:spacing w:before="200" w:line="360" w:lineRule="exact"/>
      <w:ind w:left="1985"/>
    </w:pPr>
    <w:rPr>
      <w:rFonts w:cs="Times New Roman"/>
      <w:sz w:val="36"/>
    </w:rPr>
  </w:style>
  <w:style w:type="character" w:customStyle="1" w:styleId="CoverNarrativeChar">
    <w:name w:val="Cover Narrative Char"/>
    <w:link w:val="CoverNarrative"/>
    <w:rsid w:val="00B15E35"/>
    <w:rPr>
      <w:rFonts w:ascii="Arial" w:hAnsi="Arial"/>
      <w:sz w:val="36"/>
      <w:shd w:val="solid" w:color="FFFFFF" w:fill="FFFFFF"/>
    </w:rPr>
  </w:style>
  <w:style w:type="paragraph" w:customStyle="1" w:styleId="CoverDate">
    <w:name w:val="Cover Date"/>
    <w:basedOn w:val="CoverNarrative"/>
    <w:rsid w:val="00B15E35"/>
  </w:style>
  <w:style w:type="paragraph" w:customStyle="1" w:styleId="CoverCopyright">
    <w:name w:val="Cover Copyright"/>
    <w:basedOn w:val="CoverNarrative"/>
    <w:rsid w:val="00B15E35"/>
    <w:pPr>
      <w:spacing w:line="240" w:lineRule="auto"/>
    </w:pPr>
    <w:rPr>
      <w:sz w:val="16"/>
    </w:rPr>
  </w:style>
  <w:style w:type="paragraph" w:styleId="TOC1">
    <w:name w:val="toc 1"/>
    <w:aliases w:val="TOC subhead,TT - TOC 1"/>
    <w:basedOn w:val="Normal"/>
    <w:next w:val="Normal"/>
    <w:autoRedefine/>
    <w:uiPriority w:val="39"/>
    <w:qFormat/>
    <w:rsid w:val="00B15E35"/>
    <w:pPr>
      <w:tabs>
        <w:tab w:val="right" w:leader="dot" w:pos="9533"/>
      </w:tabs>
      <w:spacing w:before="240"/>
      <w:ind w:left="432" w:hanging="432"/>
    </w:pPr>
    <w:rPr>
      <w:b/>
      <w:noProof/>
      <w:sz w:val="24"/>
    </w:rPr>
  </w:style>
  <w:style w:type="paragraph" w:customStyle="1" w:styleId="TT-PageNumber">
    <w:name w:val="TT - Page Number"/>
    <w:basedOn w:val="Normal"/>
    <w:autoRedefine/>
    <w:qFormat/>
    <w:rsid w:val="00B15E35"/>
    <w:pPr>
      <w:tabs>
        <w:tab w:val="left" w:pos="2861"/>
        <w:tab w:val="left" w:pos="6865"/>
        <w:tab w:val="right" w:pos="9360"/>
        <w:tab w:val="right" w:pos="12960"/>
      </w:tabs>
      <w:spacing w:before="240"/>
      <w:jc w:val="center"/>
    </w:pPr>
    <w:rPr>
      <w:i/>
      <w:noProof/>
      <w:sz w:val="18"/>
    </w:rPr>
  </w:style>
  <w:style w:type="paragraph" w:styleId="TOC2">
    <w:name w:val="toc 2"/>
    <w:aliases w:val="TT - TOC 2"/>
    <w:basedOn w:val="Normal"/>
    <w:next w:val="Normal"/>
    <w:link w:val="TOC2Char"/>
    <w:autoRedefine/>
    <w:uiPriority w:val="39"/>
    <w:qFormat/>
    <w:rsid w:val="00B15E35"/>
    <w:pPr>
      <w:tabs>
        <w:tab w:val="left" w:pos="1440"/>
        <w:tab w:val="right" w:leader="dot" w:pos="9533"/>
      </w:tabs>
      <w:spacing w:before="60"/>
      <w:ind w:left="864" w:hanging="432"/>
    </w:pPr>
    <w:rPr>
      <w:rFonts w:cs="Times New Roman"/>
      <w:noProof/>
    </w:rPr>
  </w:style>
  <w:style w:type="character" w:customStyle="1" w:styleId="TOC2Char">
    <w:name w:val="TOC 2 Char"/>
    <w:aliases w:val="TT - TOC 2 Char"/>
    <w:link w:val="TOC2"/>
    <w:uiPriority w:val="39"/>
    <w:rsid w:val="00B15E35"/>
    <w:rPr>
      <w:rFonts w:ascii="Arial" w:hAnsi="Arial"/>
      <w:noProof/>
      <w:sz w:val="22"/>
    </w:rPr>
  </w:style>
  <w:style w:type="paragraph" w:styleId="TOC3">
    <w:name w:val="toc 3"/>
    <w:aliases w:val="TT - TOC 3"/>
    <w:basedOn w:val="TOC2"/>
    <w:next w:val="Normal"/>
    <w:autoRedefine/>
    <w:uiPriority w:val="39"/>
    <w:qFormat/>
    <w:rsid w:val="00B15E35"/>
    <w:pPr>
      <w:tabs>
        <w:tab w:val="left" w:pos="1701"/>
      </w:tabs>
      <w:ind w:left="1440" w:right="-59" w:hanging="576"/>
    </w:pPr>
  </w:style>
  <w:style w:type="paragraph" w:styleId="TOC4">
    <w:name w:val="toc 4"/>
    <w:basedOn w:val="TOC3"/>
    <w:next w:val="Normal"/>
    <w:uiPriority w:val="39"/>
    <w:rsid w:val="00B15E35"/>
    <w:pPr>
      <w:ind w:left="1701"/>
    </w:pPr>
  </w:style>
  <w:style w:type="paragraph" w:styleId="TOC5">
    <w:name w:val="toc 5"/>
    <w:basedOn w:val="TOC4"/>
    <w:next w:val="Normal"/>
    <w:uiPriority w:val="39"/>
    <w:rsid w:val="00B15E35"/>
    <w:pPr>
      <w:ind w:left="1985"/>
    </w:pPr>
  </w:style>
  <w:style w:type="paragraph" w:styleId="TOC6">
    <w:name w:val="toc 6"/>
    <w:basedOn w:val="TOC1"/>
    <w:next w:val="Normal"/>
    <w:uiPriority w:val="39"/>
    <w:rsid w:val="00B15E35"/>
    <w:pPr>
      <w:ind w:left="1843" w:hanging="1843"/>
    </w:pPr>
  </w:style>
  <w:style w:type="paragraph" w:styleId="TOC7">
    <w:name w:val="toc 7"/>
    <w:basedOn w:val="TOC2"/>
    <w:next w:val="Normal"/>
    <w:uiPriority w:val="39"/>
    <w:rsid w:val="00B15E35"/>
  </w:style>
  <w:style w:type="paragraph" w:styleId="TOC8">
    <w:name w:val="toc 8"/>
    <w:basedOn w:val="TOC3"/>
    <w:next w:val="Normal"/>
    <w:uiPriority w:val="39"/>
    <w:rsid w:val="00B15E35"/>
  </w:style>
  <w:style w:type="paragraph" w:styleId="TOC9">
    <w:name w:val="toc 9"/>
    <w:basedOn w:val="TOC4"/>
    <w:next w:val="Normal"/>
    <w:uiPriority w:val="39"/>
    <w:rsid w:val="00B15E35"/>
  </w:style>
  <w:style w:type="paragraph" w:styleId="DocumentMap">
    <w:name w:val="Document Map"/>
    <w:basedOn w:val="Normal"/>
    <w:link w:val="DocumentMapChar"/>
    <w:rsid w:val="00B15E35"/>
    <w:pPr>
      <w:shd w:val="clear" w:color="auto" w:fill="000080"/>
      <w:spacing w:before="240"/>
    </w:pPr>
    <w:rPr>
      <w:rFonts w:ascii="Tahoma" w:hAnsi="Tahoma" w:cs="Times New Roman"/>
      <w:sz w:val="16"/>
    </w:rPr>
  </w:style>
  <w:style w:type="character" w:customStyle="1" w:styleId="DocumentMapChar">
    <w:name w:val="Document Map Char"/>
    <w:basedOn w:val="DefaultParagraphFont"/>
    <w:link w:val="DocumentMap"/>
    <w:rsid w:val="00B15E35"/>
    <w:rPr>
      <w:rFonts w:ascii="Tahoma" w:hAnsi="Tahoma"/>
      <w:sz w:val="16"/>
      <w:shd w:val="clear" w:color="auto" w:fill="000080"/>
    </w:rPr>
  </w:style>
  <w:style w:type="paragraph" w:styleId="TOCHeading">
    <w:name w:val="TOC Heading"/>
    <w:basedOn w:val="Normal"/>
    <w:next w:val="Normal"/>
    <w:uiPriority w:val="39"/>
    <w:qFormat/>
    <w:rsid w:val="00B15E35"/>
    <w:pPr>
      <w:spacing w:before="0"/>
    </w:pPr>
    <w:rPr>
      <w:rFonts w:ascii="GillSans" w:hAnsi="GillSans"/>
      <w:b/>
      <w:color w:val="0069AA"/>
      <w:sz w:val="26"/>
    </w:rPr>
  </w:style>
  <w:style w:type="paragraph" w:customStyle="1" w:styleId="TOCNormal">
    <w:name w:val="TOC Normal"/>
    <w:rsid w:val="00B15E35"/>
    <w:pPr>
      <w:tabs>
        <w:tab w:val="left" w:pos="576"/>
        <w:tab w:val="right" w:leader="dot" w:pos="9072"/>
      </w:tabs>
      <w:spacing w:before="240"/>
    </w:pPr>
    <w:rPr>
      <w:rFonts w:ascii="GillSans" w:hAnsi="GillSans"/>
      <w:sz w:val="24"/>
    </w:rPr>
  </w:style>
  <w:style w:type="paragraph" w:customStyle="1" w:styleId="StyleCoverNarrativeLinespacingExactly19pt">
    <w:name w:val="Style Cover Narrative + Line spacing:  Exactly 19 pt"/>
    <w:basedOn w:val="CoverNarrative"/>
    <w:link w:val="StyleCoverNarrativeLinespacingExactly19ptChar"/>
    <w:rsid w:val="00B15E35"/>
    <w:pPr>
      <w:shd w:val="clear" w:color="auto" w:fill="auto"/>
      <w:spacing w:line="380" w:lineRule="exact"/>
      <w:ind w:left="1987"/>
    </w:pPr>
  </w:style>
  <w:style w:type="character" w:customStyle="1" w:styleId="StyleCoverNarrativeLinespacingExactly19ptChar">
    <w:name w:val="Style Cover Narrative + Line spacing:  Exactly 19 pt Char"/>
    <w:link w:val="StyleCoverNarrativeLinespacingExactly19pt"/>
    <w:rsid w:val="00B15E35"/>
    <w:rPr>
      <w:rFonts w:ascii="Arial" w:hAnsi="Arial"/>
      <w:sz w:val="36"/>
    </w:rPr>
  </w:style>
  <w:style w:type="paragraph" w:customStyle="1" w:styleId="Copyright">
    <w:name w:val="Copyright"/>
    <w:basedOn w:val="StyleCoverNarrativeLinespacingExactly19pt"/>
    <w:link w:val="CopyrightChar"/>
    <w:rsid w:val="00B15E35"/>
    <w:rPr>
      <w:sz w:val="16"/>
    </w:rPr>
  </w:style>
  <w:style w:type="character" w:customStyle="1" w:styleId="CopyrightChar">
    <w:name w:val="Copyright Char"/>
    <w:link w:val="Copyright"/>
    <w:rsid w:val="00B15E35"/>
    <w:rPr>
      <w:rFonts w:ascii="Arial" w:hAnsi="Arial"/>
      <w:sz w:val="16"/>
    </w:rPr>
  </w:style>
  <w:style w:type="paragraph" w:customStyle="1" w:styleId="TT-addressphone">
    <w:name w:val="TT - address/phone"/>
    <w:autoRedefine/>
    <w:qFormat/>
    <w:rsid w:val="00B15E35"/>
    <w:pPr>
      <w:autoSpaceDE w:val="0"/>
      <w:autoSpaceDN w:val="0"/>
      <w:adjustRightInd w:val="0"/>
    </w:pPr>
    <w:rPr>
      <w:rFonts w:ascii="Franklin Gothic Medium Cond" w:hAnsi="Franklin Gothic Medium Cond" w:cs="Arial"/>
      <w:color w:val="939598"/>
      <w:sz w:val="24"/>
      <w:szCs w:val="24"/>
      <w:lang w:val="en-GB" w:eastAsia="en-GB"/>
    </w:rPr>
  </w:style>
  <w:style w:type="paragraph" w:styleId="TableofFigures">
    <w:name w:val="table of figures"/>
    <w:aliases w:val="TT - Table of Figures"/>
    <w:basedOn w:val="Normal"/>
    <w:next w:val="Normal"/>
    <w:autoRedefine/>
    <w:uiPriority w:val="99"/>
    <w:qFormat/>
    <w:rsid w:val="00B15E35"/>
    <w:pPr>
      <w:tabs>
        <w:tab w:val="right" w:leader="dot" w:pos="9360"/>
      </w:tabs>
      <w:spacing w:before="120"/>
    </w:pPr>
    <w:rPr>
      <w:rFonts w:cs="Times New Roman"/>
      <w:noProof/>
    </w:rPr>
  </w:style>
  <w:style w:type="character" w:customStyle="1" w:styleId="TT-Italic">
    <w:name w:val="TT - Italic"/>
    <w:qFormat/>
    <w:rsid w:val="00B15E35"/>
    <w:rPr>
      <w:rFonts w:ascii="Arial" w:hAnsi="Arial"/>
      <w:i/>
      <w:iCs/>
      <w:sz w:val="22"/>
    </w:rPr>
  </w:style>
  <w:style w:type="paragraph" w:customStyle="1" w:styleId="TT-CoverClientName">
    <w:name w:val="TT - Cover Client Name"/>
    <w:basedOn w:val="Normal"/>
    <w:next w:val="Normal"/>
    <w:link w:val="TT-CoverClientNameChar"/>
    <w:qFormat/>
    <w:rsid w:val="00B15E35"/>
    <w:pPr>
      <w:spacing w:before="2220" w:line="720" w:lineRule="exact"/>
      <w:ind w:left="1980"/>
    </w:pPr>
    <w:rPr>
      <w:rFonts w:cs="Times New Roman"/>
      <w:b/>
      <w:color w:val="0069AA"/>
      <w:spacing w:val="-20"/>
      <w:sz w:val="60"/>
    </w:rPr>
  </w:style>
  <w:style w:type="character" w:customStyle="1" w:styleId="TT-CoverClientNameChar">
    <w:name w:val="TT - Cover Client Name Char"/>
    <w:link w:val="TT-CoverClientName"/>
    <w:rsid w:val="00B15E35"/>
    <w:rPr>
      <w:rFonts w:ascii="Arial" w:hAnsi="Arial"/>
      <w:b/>
      <w:color w:val="0069AA"/>
      <w:spacing w:val="-20"/>
      <w:sz w:val="60"/>
    </w:rPr>
  </w:style>
  <w:style w:type="paragraph" w:customStyle="1" w:styleId="TT-CoverFooter">
    <w:name w:val="TT - Cover Footer"/>
    <w:basedOn w:val="Normal"/>
    <w:autoRedefine/>
    <w:qFormat/>
    <w:rsid w:val="00B15E35"/>
    <w:pPr>
      <w:spacing w:before="160"/>
      <w:jc w:val="right"/>
    </w:pPr>
    <w:rPr>
      <w:rFonts w:cs="Times New Roman"/>
      <w:sz w:val="16"/>
    </w:rPr>
  </w:style>
  <w:style w:type="paragraph" w:customStyle="1" w:styleId="TT-Ghost">
    <w:name w:val="TT - Ghost"/>
    <w:basedOn w:val="Normal"/>
    <w:autoRedefine/>
    <w:qFormat/>
    <w:rsid w:val="00B15E35"/>
    <w:pPr>
      <w:spacing w:before="0" w:after="240"/>
      <w:ind w:left="-567"/>
    </w:pPr>
    <w:rPr>
      <w:rFonts w:cs="Times New Roman"/>
      <w:i/>
      <w:noProof/>
      <w:color w:val="808080"/>
    </w:rPr>
  </w:style>
  <w:style w:type="paragraph" w:customStyle="1" w:styleId="TT-ChapterFooter">
    <w:name w:val="TT - Chapter Footer"/>
    <w:basedOn w:val="TT-CoverFooter"/>
    <w:autoRedefine/>
    <w:qFormat/>
    <w:rsid w:val="00B15E35"/>
  </w:style>
  <w:style w:type="paragraph" w:customStyle="1" w:styleId="TT-StyleCoverNarrative">
    <w:name w:val="TT - Style Cover Narrative"/>
    <w:basedOn w:val="CoverNarrative"/>
    <w:link w:val="TT-StyleCoverNarrativeChar"/>
    <w:autoRedefine/>
    <w:qFormat/>
    <w:rsid w:val="00B15E35"/>
    <w:pPr>
      <w:shd w:val="clear" w:color="auto" w:fill="auto"/>
      <w:spacing w:line="380" w:lineRule="exact"/>
      <w:ind w:left="1080"/>
    </w:pPr>
    <w:rPr>
      <w:b/>
      <w:bCs/>
      <w:szCs w:val="36"/>
    </w:rPr>
  </w:style>
  <w:style w:type="character" w:customStyle="1" w:styleId="TT-StyleCoverNarrativeChar">
    <w:name w:val="TT - Style Cover Narrative Char"/>
    <w:link w:val="TT-StyleCoverNarrative"/>
    <w:rsid w:val="00B15E35"/>
    <w:rPr>
      <w:rFonts w:ascii="Arial" w:hAnsi="Arial"/>
      <w:b/>
      <w:bCs/>
      <w:sz w:val="36"/>
      <w:szCs w:val="36"/>
    </w:rPr>
  </w:style>
  <w:style w:type="paragraph" w:customStyle="1" w:styleId="TT-Boxtext">
    <w:name w:val="TT - Box text"/>
    <w:autoRedefine/>
    <w:qFormat/>
    <w:rsid w:val="00B15E35"/>
    <w:pPr>
      <w:framePr w:hSpace="648" w:vSpace="360" w:wrap="around" w:vAnchor="text" w:hAnchor="margin" w:xAlign="right" w:y="1775"/>
      <w:spacing w:before="240" w:line="360" w:lineRule="auto"/>
      <w:ind w:left="216" w:right="115"/>
      <w:suppressOverlap/>
    </w:pPr>
    <w:rPr>
      <w:rFonts w:ascii="Arial" w:hAnsi="Arial"/>
      <w:color w:val="363636"/>
      <w:sz w:val="22"/>
      <w:szCs w:val="24"/>
    </w:rPr>
  </w:style>
  <w:style w:type="paragraph" w:customStyle="1" w:styleId="TT-StyleCoverCopyrightPattern">
    <w:name w:val="TT - Style Cover Copyright + Pattern"/>
    <w:basedOn w:val="CoverCopyright"/>
    <w:autoRedefine/>
    <w:qFormat/>
    <w:rsid w:val="00B15E35"/>
    <w:pPr>
      <w:shd w:val="clear" w:color="auto" w:fill="auto"/>
    </w:pPr>
  </w:style>
  <w:style w:type="paragraph" w:customStyle="1" w:styleId="TT-Emphasis-12pt">
    <w:name w:val="TT - Emphasis - 12 pt."/>
    <w:basedOn w:val="Normal"/>
    <w:autoRedefine/>
    <w:qFormat/>
    <w:rsid w:val="00B15E35"/>
    <w:pPr>
      <w:spacing w:before="0"/>
    </w:pPr>
    <w:rPr>
      <w:rFonts w:cs="Times New Roman"/>
      <w:color w:val="939598"/>
      <w:sz w:val="24"/>
    </w:rPr>
  </w:style>
  <w:style w:type="character" w:customStyle="1" w:styleId="TT-TetraTechcom">
    <w:name w:val="TT - TetraTech.com"/>
    <w:qFormat/>
    <w:rsid w:val="00B15E35"/>
    <w:rPr>
      <w:rFonts w:ascii="Arial" w:hAnsi="Arial"/>
      <w:color w:val="939598"/>
      <w:sz w:val="22"/>
    </w:rPr>
  </w:style>
  <w:style w:type="paragraph" w:customStyle="1" w:styleId="TT-TableFont">
    <w:name w:val="TT - Table Font"/>
    <w:basedOn w:val="Normal"/>
    <w:autoRedefine/>
    <w:qFormat/>
    <w:rsid w:val="00B15E35"/>
    <w:pPr>
      <w:spacing w:before="60" w:after="60"/>
    </w:pPr>
    <w:rPr>
      <w:rFonts w:cs="Times New Roman"/>
      <w:sz w:val="20"/>
    </w:rPr>
  </w:style>
  <w:style w:type="paragraph" w:customStyle="1" w:styleId="TT-CopyrightText">
    <w:name w:val="TT - Copyright Text"/>
    <w:basedOn w:val="Normal"/>
    <w:autoRedefine/>
    <w:qFormat/>
    <w:rsid w:val="00B15E35"/>
    <w:pPr>
      <w:spacing w:before="240"/>
      <w:ind w:left="1979"/>
    </w:pPr>
    <w:rPr>
      <w:rFonts w:cs="Times New Roman"/>
      <w:color w:val="808080"/>
      <w:sz w:val="18"/>
    </w:rPr>
  </w:style>
  <w:style w:type="paragraph" w:customStyle="1" w:styleId="TT-CalloutBoxHeading">
    <w:name w:val="TT - Callout Box Heading"/>
    <w:basedOn w:val="Normal"/>
    <w:autoRedefine/>
    <w:qFormat/>
    <w:rsid w:val="00B15E35"/>
    <w:pPr>
      <w:spacing w:before="80" w:after="80"/>
    </w:pPr>
    <w:rPr>
      <w:rFonts w:cs="Times New Roman"/>
      <w:b/>
      <w:bCs/>
      <w:caps/>
      <w:color w:val="FFFFFF"/>
      <w:spacing w:val="20"/>
      <w:kern w:val="36"/>
    </w:rPr>
  </w:style>
  <w:style w:type="paragraph" w:customStyle="1" w:styleId="TT-CalloutBoxHead">
    <w:name w:val="TT - Callout Box Head"/>
    <w:basedOn w:val="Normal"/>
    <w:autoRedefine/>
    <w:rsid w:val="00B15E35"/>
    <w:pPr>
      <w:framePr w:hSpace="648" w:vSpace="360" w:wrap="around" w:vAnchor="text" w:hAnchor="margin" w:xAlign="right" w:y="1775"/>
      <w:spacing w:before="60"/>
      <w:suppressOverlap/>
    </w:pPr>
    <w:rPr>
      <w:rFonts w:cs="Times New Roman"/>
      <w:b/>
      <w:bCs/>
      <w:caps/>
      <w:color w:val="FFFFFF"/>
    </w:rPr>
  </w:style>
  <w:style w:type="character" w:customStyle="1" w:styleId="TT-StyleUnderline">
    <w:name w:val="TT - Style Underline"/>
    <w:qFormat/>
    <w:rsid w:val="00B15E35"/>
    <w:rPr>
      <w:rFonts w:ascii="Arial" w:hAnsi="Arial"/>
      <w:sz w:val="22"/>
      <w:u w:val="single"/>
    </w:rPr>
  </w:style>
  <w:style w:type="paragraph" w:customStyle="1" w:styleId="TT-TetraTechinPreparedFor">
    <w:name w:val="TT - Tetra Tech in Prepared For"/>
    <w:basedOn w:val="Normal"/>
    <w:autoRedefine/>
    <w:qFormat/>
    <w:rsid w:val="00B15E35"/>
    <w:pPr>
      <w:spacing w:before="0"/>
    </w:pPr>
    <w:rPr>
      <w:rFonts w:cs="Times New Roman"/>
      <w:b/>
      <w:color w:val="0069AA"/>
    </w:rPr>
  </w:style>
  <w:style w:type="paragraph" w:customStyle="1" w:styleId="TT-TableHeading">
    <w:name w:val="TT - Table Heading"/>
    <w:basedOn w:val="Normal"/>
    <w:autoRedefine/>
    <w:qFormat/>
    <w:rsid w:val="00B15E35"/>
    <w:pPr>
      <w:spacing w:before="60" w:after="60"/>
    </w:pPr>
    <w:rPr>
      <w:rFonts w:ascii="Arial Bold" w:hAnsi="Arial Bold" w:cs="Times New Roman"/>
      <w:bCs/>
      <w:color w:val="FFFFFF"/>
      <w:sz w:val="20"/>
    </w:rPr>
  </w:style>
  <w:style w:type="paragraph" w:customStyle="1" w:styleId="TT-Caption">
    <w:name w:val="TT - Caption"/>
    <w:basedOn w:val="TT-TableFont"/>
    <w:autoRedefine/>
    <w:qFormat/>
    <w:rsid w:val="00B15E35"/>
    <w:pPr>
      <w:keepNext/>
      <w:spacing w:before="120"/>
      <w:jc w:val="center"/>
    </w:pPr>
    <w:rPr>
      <w:b/>
    </w:rPr>
  </w:style>
  <w:style w:type="paragraph" w:customStyle="1" w:styleId="TT-TableHeading0">
    <w:name w:val="TT-Table Heading"/>
    <w:basedOn w:val="TT-TableFont"/>
    <w:autoRedefine/>
    <w:qFormat/>
    <w:rsid w:val="00B15E35"/>
    <w:pPr>
      <w:jc w:val="center"/>
    </w:pPr>
    <w:rPr>
      <w:rFonts w:ascii="Arial Bold" w:hAnsi="Arial Bold"/>
      <w:b/>
      <w:color w:val="FFFFFF"/>
    </w:rPr>
  </w:style>
  <w:style w:type="paragraph" w:customStyle="1" w:styleId="TT-TableFont-Numbers">
    <w:name w:val="TT - Table Font - Numbers"/>
    <w:basedOn w:val="TT-TableFont"/>
    <w:autoRedefine/>
    <w:qFormat/>
    <w:rsid w:val="00B15E35"/>
  </w:style>
  <w:style w:type="paragraph" w:customStyle="1" w:styleId="StyleListParagraphTT-ListParagraphBefore3ptAfter3">
    <w:name w:val="Style List ParagraphTT - List Paragraph + Before:  3 pt After:  3..."/>
    <w:basedOn w:val="ListBullet"/>
    <w:autoRedefine/>
    <w:rsid w:val="00B15E35"/>
    <w:pPr>
      <w:spacing w:before="120"/>
    </w:pPr>
    <w:rPr>
      <w:lang w:eastAsia="en-GB"/>
    </w:rPr>
  </w:style>
  <w:style w:type="paragraph" w:customStyle="1" w:styleId="StyleListParagraphTT-ListParagraphBefore3ptAfter31">
    <w:name w:val="Style List ParagraphTT - List Paragraph + Before:  3 pt After:  3...1"/>
    <w:basedOn w:val="ListBullet"/>
    <w:autoRedefine/>
    <w:rsid w:val="00B15E35"/>
    <w:pPr>
      <w:spacing w:before="120"/>
    </w:pPr>
    <w:rPr>
      <w:lang w:eastAsia="en-GB"/>
    </w:rPr>
  </w:style>
  <w:style w:type="paragraph" w:customStyle="1" w:styleId="StyleListParagraphTT-ListParagraphBefore6ptAfter3">
    <w:name w:val="Style List ParagraphTT - List Paragraph + Before:  6 pt After:  3..."/>
    <w:basedOn w:val="ListBullet"/>
    <w:autoRedefine/>
    <w:rsid w:val="00B15E35"/>
    <w:pPr>
      <w:spacing w:before="120"/>
    </w:pPr>
    <w:rPr>
      <w:lang w:eastAsia="en-GB"/>
    </w:rPr>
  </w:style>
  <w:style w:type="paragraph" w:customStyle="1" w:styleId="TT-TableHeadingForColumnwithNumbers">
    <w:name w:val="TT - Table Heading For Column with Numbers"/>
    <w:basedOn w:val="TT-TableHeading"/>
    <w:autoRedefine/>
    <w:qFormat/>
    <w:rsid w:val="00B15E35"/>
    <w:pPr>
      <w:jc w:val="right"/>
    </w:pPr>
    <w:rPr>
      <w:bCs w:val="0"/>
    </w:rPr>
  </w:style>
  <w:style w:type="paragraph" w:customStyle="1" w:styleId="TT-FootnoteSuperscriptText">
    <w:name w:val="TT - Footnote Superscript Text"/>
    <w:basedOn w:val="Normal"/>
    <w:autoRedefine/>
    <w:qFormat/>
    <w:rsid w:val="00B15E35"/>
    <w:pPr>
      <w:spacing w:before="240"/>
    </w:pPr>
    <w:rPr>
      <w:sz w:val="20"/>
      <w:vertAlign w:val="superscript"/>
    </w:rPr>
  </w:style>
  <w:style w:type="paragraph" w:customStyle="1" w:styleId="TT-FootnoteText">
    <w:name w:val="TT - Footnote Text"/>
    <w:basedOn w:val="TT-FootnoteSuperscriptText"/>
    <w:autoRedefine/>
    <w:qFormat/>
    <w:rsid w:val="00B15E35"/>
    <w:pPr>
      <w:ind w:left="126" w:hanging="126"/>
    </w:pPr>
    <w:rPr>
      <w:vertAlign w:val="baseline"/>
    </w:rPr>
  </w:style>
  <w:style w:type="paragraph" w:customStyle="1" w:styleId="TT-TableFootnote">
    <w:name w:val="TT - Table Footnote"/>
    <w:basedOn w:val="Normal"/>
    <w:autoRedefine/>
    <w:qFormat/>
    <w:rsid w:val="00B15E35"/>
    <w:pPr>
      <w:spacing w:before="60"/>
      <w:ind w:left="8"/>
    </w:pPr>
    <w:rPr>
      <w:rFonts w:cs="Times New Roman"/>
      <w:sz w:val="18"/>
    </w:rPr>
  </w:style>
  <w:style w:type="paragraph" w:customStyle="1" w:styleId="Default">
    <w:name w:val="Default"/>
    <w:rsid w:val="00B15E35"/>
    <w:pPr>
      <w:autoSpaceDE w:val="0"/>
      <w:autoSpaceDN w:val="0"/>
      <w:adjustRightInd w:val="0"/>
    </w:pPr>
    <w:rPr>
      <w:rFonts w:ascii="Arial" w:hAnsi="Arial" w:cs="Arial"/>
      <w:color w:val="000000"/>
      <w:sz w:val="24"/>
      <w:szCs w:val="24"/>
    </w:rPr>
  </w:style>
  <w:style w:type="character" w:customStyle="1" w:styleId="CaptionChar">
    <w:name w:val="Caption Char"/>
    <w:link w:val="Caption"/>
    <w:locked/>
    <w:rsid w:val="00B15E35"/>
    <w:rPr>
      <w:rFonts w:ascii="Arial" w:eastAsiaTheme="minorEastAsia" w:hAnsi="Arial" w:cstheme="minorBidi"/>
      <w:b/>
      <w:bCs/>
      <w:szCs w:val="18"/>
    </w:rPr>
  </w:style>
  <w:style w:type="character" w:customStyle="1" w:styleId="tabletextChar">
    <w:name w:val="table text Char"/>
    <w:link w:val="tabletext"/>
    <w:locked/>
    <w:rsid w:val="00B15E35"/>
    <w:rPr>
      <w:rFonts w:ascii="Arial Narrow" w:hAnsi="Arial Narrow"/>
    </w:rPr>
  </w:style>
  <w:style w:type="paragraph" w:customStyle="1" w:styleId="tabletext">
    <w:name w:val="table text"/>
    <w:basedOn w:val="Normal"/>
    <w:link w:val="tabletextChar"/>
    <w:rsid w:val="00B15E35"/>
    <w:pPr>
      <w:spacing w:before="60" w:after="60"/>
    </w:pPr>
    <w:rPr>
      <w:rFonts w:ascii="Arial Narrow" w:hAnsi="Arial Narrow" w:cs="Times New Roman"/>
      <w:sz w:val="20"/>
    </w:rPr>
  </w:style>
  <w:style w:type="paragraph" w:customStyle="1" w:styleId="tablebartext">
    <w:name w:val="table bar text"/>
    <w:aliases w:val="white"/>
    <w:rsid w:val="00B15E35"/>
    <w:pPr>
      <w:keepNext/>
      <w:spacing w:before="60"/>
      <w:jc w:val="center"/>
    </w:pPr>
    <w:rPr>
      <w:rFonts w:ascii="Helvetica" w:hAnsi="Helvetica" w:cs="Arial"/>
      <w:b/>
      <w:bCs/>
      <w:color w:val="FFFFFF"/>
    </w:rPr>
  </w:style>
  <w:style w:type="paragraph" w:customStyle="1" w:styleId="bullet">
    <w:name w:val="bullet"/>
    <w:rsid w:val="00B15E35"/>
    <w:pPr>
      <w:widowControl w:val="0"/>
      <w:numPr>
        <w:numId w:val="8"/>
      </w:numPr>
      <w:spacing w:after="120"/>
      <w:ind w:left="720"/>
    </w:pPr>
    <w:rPr>
      <w:rFonts w:eastAsia="Calibri"/>
      <w:sz w:val="24"/>
      <w:szCs w:val="22"/>
    </w:rPr>
  </w:style>
  <w:style w:type="paragraph" w:customStyle="1" w:styleId="TT-BulletedList">
    <w:name w:val="TT - Bulleted List"/>
    <w:basedOn w:val="StyleListParagraphTT-ListParagraphBefore6ptAfter3"/>
    <w:autoRedefine/>
    <w:qFormat/>
    <w:rsid w:val="00B15E35"/>
    <w:pPr>
      <w:tabs>
        <w:tab w:val="left" w:pos="720"/>
      </w:tabs>
      <w:autoSpaceDE w:val="0"/>
      <w:autoSpaceDN w:val="0"/>
      <w:adjustRightInd w:val="0"/>
    </w:pPr>
  </w:style>
  <w:style w:type="character" w:customStyle="1" w:styleId="ListParagraphChar">
    <w:name w:val="List Paragraph Char"/>
    <w:aliases w:val="TT - Numbered List Paragraph Char,TT - List Paragraph Char,Resume Bullett Char"/>
    <w:link w:val="ListParagraph"/>
    <w:uiPriority w:val="34"/>
    <w:locked/>
    <w:rsid w:val="00B15E35"/>
    <w:rPr>
      <w:rFonts w:asciiTheme="minorHAnsi" w:eastAsiaTheme="minorHAnsi" w:hAnsiTheme="minorHAnsi" w:cstheme="minorBidi"/>
      <w:sz w:val="22"/>
      <w:szCs w:val="22"/>
    </w:rPr>
  </w:style>
  <w:style w:type="paragraph" w:customStyle="1" w:styleId="bullets">
    <w:name w:val="bullets"/>
    <w:link w:val="bulletsChar"/>
    <w:rsid w:val="00B15E35"/>
    <w:pPr>
      <w:numPr>
        <w:numId w:val="9"/>
      </w:numPr>
      <w:spacing w:after="120"/>
    </w:pPr>
    <w:rPr>
      <w:sz w:val="24"/>
    </w:rPr>
  </w:style>
  <w:style w:type="character" w:customStyle="1" w:styleId="bulletsChar">
    <w:name w:val="bullets Char"/>
    <w:link w:val="bullets"/>
    <w:rsid w:val="00B15E35"/>
    <w:rPr>
      <w:sz w:val="24"/>
    </w:rPr>
  </w:style>
  <w:style w:type="paragraph" w:customStyle="1" w:styleId="Small6">
    <w:name w:val="Small 6"/>
    <w:next w:val="Normal"/>
    <w:qFormat/>
    <w:rsid w:val="00B15E35"/>
    <w:rPr>
      <w:rFonts w:cs="Arial"/>
      <w:sz w:val="12"/>
      <w:szCs w:val="24"/>
    </w:rPr>
  </w:style>
  <w:style w:type="numbering" w:customStyle="1" w:styleId="Itron">
    <w:name w:val="Itron"/>
    <w:uiPriority w:val="99"/>
    <w:rsid w:val="00B15E35"/>
    <w:pPr>
      <w:numPr>
        <w:numId w:val="10"/>
      </w:numPr>
    </w:pPr>
  </w:style>
  <w:style w:type="paragraph" w:styleId="Revision">
    <w:name w:val="Revision"/>
    <w:hidden/>
    <w:uiPriority w:val="99"/>
    <w:semiHidden/>
    <w:rsid w:val="00B15E35"/>
    <w:rPr>
      <w:rFonts w:ascii="Arial" w:hAnsi="Arial" w:cs="Arial"/>
      <w:sz w:val="22"/>
    </w:rPr>
  </w:style>
  <w:style w:type="table" w:customStyle="1" w:styleId="ItronBasic">
    <w:name w:val="ItronBasic"/>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customStyle="1" w:styleId="Style2">
    <w:name w:val="Style2"/>
    <w:basedOn w:val="NoSpacing"/>
    <w:link w:val="Style2Char"/>
    <w:qFormat/>
    <w:rsid w:val="00B15E35"/>
    <w:pPr>
      <w:widowControl w:val="0"/>
      <w:spacing w:before="120" w:after="120"/>
      <w:jc w:val="center"/>
    </w:pPr>
    <w:rPr>
      <w:rFonts w:ascii="Cambria Math" w:eastAsia="Times New Roman" w:hAnsi="Cambria Math" w:cs="Times New Roman"/>
      <w:snapToGrid w:val="0"/>
      <w:sz w:val="24"/>
      <w:szCs w:val="20"/>
    </w:rPr>
  </w:style>
  <w:style w:type="character" w:customStyle="1" w:styleId="Style2Char">
    <w:name w:val="Style2 Char"/>
    <w:link w:val="Style2"/>
    <w:rsid w:val="00B15E35"/>
    <w:rPr>
      <w:rFonts w:ascii="Cambria Math" w:hAnsi="Cambria Math"/>
      <w:snapToGrid w:val="0"/>
      <w:sz w:val="24"/>
    </w:rPr>
  </w:style>
  <w:style w:type="character" w:styleId="PlaceholderText">
    <w:name w:val="Placeholder Text"/>
    <w:uiPriority w:val="99"/>
    <w:semiHidden/>
    <w:rsid w:val="00B15E35"/>
    <w:rPr>
      <w:color w:val="808080"/>
    </w:rPr>
  </w:style>
  <w:style w:type="paragraph" w:customStyle="1" w:styleId="StyleHeading36pt">
    <w:name w:val="Style Heading 3 + 6 pt"/>
    <w:basedOn w:val="Heading3"/>
    <w:rsid w:val="00B15E35"/>
    <w:pPr>
      <w:numPr>
        <w:ilvl w:val="2"/>
      </w:numPr>
      <w:spacing w:before="120" w:after="120"/>
      <w:ind w:left="720" w:hanging="720"/>
    </w:pPr>
    <w:rPr>
      <w:rFonts w:ascii="Times New Roman" w:hAnsi="Times New Roman" w:cs="Times New Roman"/>
      <w:b w:val="0"/>
      <w:bCs w:val="0"/>
      <w:i/>
      <w:iCs/>
      <w:sz w:val="28"/>
      <w:szCs w:val="24"/>
    </w:rPr>
  </w:style>
  <w:style w:type="paragraph" w:styleId="BodyText">
    <w:name w:val="Body Text"/>
    <w:basedOn w:val="Normal"/>
    <w:link w:val="BodyTextChar"/>
    <w:unhideWhenUsed/>
    <w:rsid w:val="00B15E35"/>
    <w:pPr>
      <w:widowControl w:val="0"/>
      <w:tabs>
        <w:tab w:val="left" w:pos="720"/>
      </w:tabs>
      <w:snapToGrid w:val="0"/>
      <w:spacing w:before="0" w:after="120"/>
    </w:pPr>
    <w:rPr>
      <w:rFonts w:ascii="Times New Roman" w:hAnsi="Times New Roman" w:cs="Times New Roman"/>
      <w:sz w:val="24"/>
    </w:rPr>
  </w:style>
  <w:style w:type="character" w:customStyle="1" w:styleId="BodyTextChar">
    <w:name w:val="Body Text Char"/>
    <w:basedOn w:val="DefaultParagraphFont"/>
    <w:link w:val="BodyText"/>
    <w:rsid w:val="00B15E35"/>
    <w:rPr>
      <w:sz w:val="24"/>
    </w:rPr>
  </w:style>
  <w:style w:type="paragraph" w:styleId="BodyTextIndent2">
    <w:name w:val="Body Text Indent 2"/>
    <w:basedOn w:val="Normal"/>
    <w:link w:val="BodyTextIndent2Char"/>
    <w:rsid w:val="00B15E35"/>
    <w:pPr>
      <w:spacing w:before="240" w:after="120" w:line="480" w:lineRule="auto"/>
      <w:ind w:left="360"/>
    </w:pPr>
    <w:rPr>
      <w:rFonts w:cs="Times New Roman"/>
      <w:sz w:val="20"/>
    </w:rPr>
  </w:style>
  <w:style w:type="character" w:customStyle="1" w:styleId="BodyTextIndent2Char">
    <w:name w:val="Body Text Indent 2 Char"/>
    <w:basedOn w:val="DefaultParagraphFont"/>
    <w:link w:val="BodyTextIndent2"/>
    <w:rsid w:val="00B15E35"/>
    <w:rPr>
      <w:rFonts w:ascii="Arial" w:hAnsi="Arial"/>
    </w:rPr>
  </w:style>
  <w:style w:type="paragraph" w:customStyle="1" w:styleId="xl24">
    <w:name w:val="xl24"/>
    <w:basedOn w:val="Normal"/>
    <w:rsid w:val="00B15E35"/>
    <w:pPr>
      <w:spacing w:before="100" w:after="100"/>
      <w:jc w:val="center"/>
    </w:pPr>
    <w:rPr>
      <w:rFonts w:eastAsia="Arial Unicode MS" w:cs="Times New Roman"/>
      <w:sz w:val="24"/>
    </w:rPr>
  </w:style>
  <w:style w:type="paragraph" w:customStyle="1" w:styleId="TableCaption">
    <w:name w:val="TableCaption"/>
    <w:basedOn w:val="Normal"/>
    <w:next w:val="Normal"/>
    <w:rsid w:val="00B15E35"/>
    <w:pPr>
      <w:spacing w:before="120" w:after="60"/>
    </w:pPr>
    <w:rPr>
      <w:rFonts w:ascii="Times New Roman" w:hAnsi="Times New Roman" w:cs="Times New Roman"/>
      <w:b/>
      <w:sz w:val="24"/>
    </w:rPr>
  </w:style>
  <w:style w:type="character" w:styleId="EndnoteReference">
    <w:name w:val="endnote reference"/>
    <w:uiPriority w:val="99"/>
    <w:unhideWhenUsed/>
    <w:rsid w:val="00B15E35"/>
    <w:rPr>
      <w:vertAlign w:val="superscript"/>
    </w:rPr>
  </w:style>
  <w:style w:type="character" w:customStyle="1" w:styleId="st">
    <w:name w:val="st"/>
    <w:basedOn w:val="DefaultParagraphFont"/>
    <w:rsid w:val="00B15E35"/>
  </w:style>
  <w:style w:type="character" w:styleId="FollowedHyperlink">
    <w:name w:val="FollowedHyperlink"/>
    <w:basedOn w:val="DefaultParagraphFont"/>
    <w:uiPriority w:val="99"/>
    <w:unhideWhenUsed/>
    <w:rsid w:val="00B15E35"/>
    <w:rPr>
      <w:color w:val="800080" w:themeColor="followedHyperlink"/>
      <w:u w:val="single"/>
    </w:rPr>
  </w:style>
  <w:style w:type="paragraph" w:customStyle="1" w:styleId="Heading3no">
    <w:name w:val="Heading 3 no #"/>
    <w:basedOn w:val="Heading4"/>
    <w:qFormat/>
    <w:rsid w:val="00B15E35"/>
    <w:pPr>
      <w:keepLines w:val="0"/>
      <w:spacing w:before="360" w:after="0"/>
    </w:pPr>
    <w:rPr>
      <w:rFonts w:eastAsia="Times New Roman" w:cs="Times New Roman"/>
      <w:i w:val="0"/>
      <w:iCs w:val="0"/>
      <w:color w:val="auto"/>
      <w:sz w:val="28"/>
      <w:szCs w:val="28"/>
    </w:rPr>
  </w:style>
  <w:style w:type="table" w:customStyle="1" w:styleId="ItronBasic1">
    <w:name w:val="ItronBasic1"/>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customStyle="1" w:styleId="font0">
    <w:name w:val="font0"/>
    <w:basedOn w:val="Normal"/>
    <w:rsid w:val="00B15E35"/>
    <w:pPr>
      <w:spacing w:before="100" w:beforeAutospacing="1" w:after="100" w:afterAutospacing="1"/>
    </w:pPr>
    <w:rPr>
      <w:rFonts w:ascii="Calibri" w:hAnsi="Calibri" w:cs="Times New Roman"/>
      <w:color w:val="000000"/>
      <w:szCs w:val="22"/>
    </w:rPr>
  </w:style>
  <w:style w:type="paragraph" w:customStyle="1" w:styleId="font5">
    <w:name w:val="font5"/>
    <w:basedOn w:val="Normal"/>
    <w:rsid w:val="00B15E35"/>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B15E35"/>
    <w:pPr>
      <w:spacing w:before="100" w:beforeAutospacing="1" w:after="100" w:afterAutospacing="1"/>
    </w:pPr>
    <w:rPr>
      <w:rFonts w:ascii="Tahoma" w:hAnsi="Tahoma" w:cs="Tahoma"/>
      <w:b/>
      <w:bCs/>
      <w:color w:val="000000"/>
      <w:sz w:val="18"/>
      <w:szCs w:val="18"/>
    </w:rPr>
  </w:style>
  <w:style w:type="paragraph" w:customStyle="1" w:styleId="font7">
    <w:name w:val="font7"/>
    <w:basedOn w:val="Normal"/>
    <w:rsid w:val="00B15E35"/>
    <w:pPr>
      <w:spacing w:before="100" w:beforeAutospacing="1" w:after="100" w:afterAutospacing="1"/>
    </w:pPr>
    <w:rPr>
      <w:rFonts w:ascii="Calibri" w:hAnsi="Calibri" w:cs="Times New Roman"/>
      <w:i/>
      <w:iCs/>
      <w:color w:val="000000"/>
      <w:szCs w:val="22"/>
    </w:rPr>
  </w:style>
  <w:style w:type="paragraph" w:customStyle="1" w:styleId="font8">
    <w:name w:val="font8"/>
    <w:basedOn w:val="Normal"/>
    <w:rsid w:val="00B15E35"/>
    <w:pPr>
      <w:spacing w:before="100" w:beforeAutospacing="1" w:after="100" w:afterAutospacing="1"/>
    </w:pPr>
    <w:rPr>
      <w:rFonts w:ascii="Calibri" w:hAnsi="Calibri" w:cs="Times New Roman"/>
      <w:b/>
      <w:bCs/>
      <w:color w:val="000000"/>
      <w:szCs w:val="22"/>
    </w:rPr>
  </w:style>
  <w:style w:type="paragraph" w:customStyle="1" w:styleId="xl63">
    <w:name w:val="xl63"/>
    <w:basedOn w:val="Normal"/>
    <w:rsid w:val="00B15E35"/>
    <w:pPr>
      <w:pBdr>
        <w:top w:val="single" w:sz="8" w:space="0" w:color="BFBFBF"/>
        <w:left w:val="single" w:sz="8" w:space="0" w:color="BFBFBF"/>
        <w:bottom w:val="single" w:sz="8" w:space="0" w:color="BFBFBF"/>
        <w:right w:val="single" w:sz="8" w:space="0" w:color="BFBFBF"/>
      </w:pBdr>
      <w:shd w:val="clear" w:color="000000" w:fill="0066A4"/>
      <w:spacing w:before="100" w:beforeAutospacing="1" w:after="100" w:afterAutospacing="1"/>
      <w:jc w:val="center"/>
      <w:textAlignment w:val="center"/>
    </w:pPr>
    <w:rPr>
      <w:b/>
      <w:bCs/>
      <w:color w:val="FFFFFF"/>
      <w:sz w:val="18"/>
      <w:szCs w:val="18"/>
    </w:rPr>
  </w:style>
  <w:style w:type="paragraph" w:customStyle="1" w:styleId="xl64">
    <w:name w:val="xl64"/>
    <w:basedOn w:val="Normal"/>
    <w:rsid w:val="00B15E35"/>
    <w:pPr>
      <w:pBdr>
        <w:top w:val="single" w:sz="8" w:space="0" w:color="BFBFBF"/>
        <w:left w:val="single" w:sz="8" w:space="0" w:color="BFBFBF"/>
        <w:bottom w:val="single" w:sz="8" w:space="0" w:color="BFBFBF"/>
        <w:right w:val="single" w:sz="8" w:space="0" w:color="BFBFBF"/>
      </w:pBdr>
      <w:shd w:val="clear" w:color="000000" w:fill="0066A4"/>
      <w:spacing w:before="100" w:beforeAutospacing="1" w:after="100" w:afterAutospacing="1"/>
      <w:jc w:val="center"/>
      <w:textAlignment w:val="center"/>
    </w:pPr>
    <w:rPr>
      <w:b/>
      <w:bCs/>
      <w:color w:val="FFFFFF"/>
      <w:sz w:val="18"/>
      <w:szCs w:val="18"/>
    </w:rPr>
  </w:style>
  <w:style w:type="paragraph" w:customStyle="1" w:styleId="xl65">
    <w:name w:val="xl65"/>
    <w:basedOn w:val="Normal"/>
    <w:rsid w:val="00B15E35"/>
    <w:pPr>
      <w:spacing w:before="100" w:beforeAutospacing="1" w:after="100" w:afterAutospacing="1"/>
      <w:textAlignment w:val="center"/>
    </w:pPr>
    <w:rPr>
      <w:rFonts w:ascii="Times New Roman" w:hAnsi="Times New Roman" w:cs="Times New Roman"/>
      <w:sz w:val="24"/>
      <w:szCs w:val="24"/>
    </w:rPr>
  </w:style>
  <w:style w:type="paragraph" w:customStyle="1" w:styleId="xl66">
    <w:name w:val="xl66"/>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textAlignment w:val="center"/>
    </w:pPr>
    <w:rPr>
      <w:rFonts w:ascii="Times New Roman" w:hAnsi="Times New Roman" w:cs="Times New Roman"/>
      <w:sz w:val="24"/>
      <w:szCs w:val="24"/>
    </w:rPr>
  </w:style>
  <w:style w:type="paragraph" w:customStyle="1" w:styleId="xl67">
    <w:name w:val="xl67"/>
    <w:basedOn w:val="Normal"/>
    <w:rsid w:val="00B15E35"/>
    <w:pPr>
      <w:spacing w:before="100" w:beforeAutospacing="1" w:after="100" w:afterAutospacing="1"/>
      <w:textAlignment w:val="center"/>
    </w:pPr>
    <w:rPr>
      <w:rFonts w:ascii="Times New Roman" w:hAnsi="Times New Roman" w:cs="Times New Roman"/>
      <w:sz w:val="24"/>
      <w:szCs w:val="24"/>
    </w:rPr>
  </w:style>
  <w:style w:type="paragraph" w:customStyle="1" w:styleId="xl68">
    <w:name w:val="xl68"/>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textAlignment w:val="center"/>
    </w:pPr>
    <w:rPr>
      <w:rFonts w:ascii="Times New Roman" w:hAnsi="Times New Roman" w:cs="Times New Roman"/>
      <w:sz w:val="24"/>
      <w:szCs w:val="24"/>
    </w:rPr>
  </w:style>
  <w:style w:type="paragraph" w:customStyle="1" w:styleId="xl69">
    <w:name w:val="xl69"/>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textAlignment w:val="center"/>
    </w:pPr>
    <w:rPr>
      <w:rFonts w:ascii="Times New Roman" w:hAnsi="Times New Roman" w:cs="Times New Roman"/>
      <w:sz w:val="24"/>
      <w:szCs w:val="24"/>
    </w:rPr>
  </w:style>
  <w:style w:type="paragraph" w:customStyle="1" w:styleId="xl70">
    <w:name w:val="xl70"/>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textAlignment w:val="center"/>
    </w:pPr>
    <w:rPr>
      <w:rFonts w:ascii="Times New Roman" w:hAnsi="Times New Roman" w:cs="Times New Roman"/>
      <w:color w:val="FF0000"/>
      <w:sz w:val="24"/>
      <w:szCs w:val="24"/>
    </w:rPr>
  </w:style>
  <w:style w:type="paragraph" w:customStyle="1" w:styleId="xl72">
    <w:name w:val="xl72"/>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textAlignment w:val="center"/>
    </w:pPr>
    <w:rPr>
      <w:rFonts w:ascii="Times New Roman" w:hAnsi="Times New Roman" w:cs="Times New Roman"/>
      <w:sz w:val="24"/>
      <w:szCs w:val="24"/>
    </w:rPr>
  </w:style>
  <w:style w:type="paragraph" w:customStyle="1" w:styleId="xl73">
    <w:name w:val="xl73"/>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textAlignment w:val="center"/>
    </w:pPr>
    <w:rPr>
      <w:rFonts w:ascii="Times New Roman" w:hAnsi="Times New Roman" w:cs="Times New Roman"/>
      <w:sz w:val="24"/>
      <w:szCs w:val="24"/>
    </w:rPr>
  </w:style>
  <w:style w:type="paragraph" w:customStyle="1" w:styleId="xl74">
    <w:name w:val="xl74"/>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jc w:val="right"/>
      <w:textAlignment w:val="center"/>
    </w:pPr>
    <w:rPr>
      <w:rFonts w:ascii="Times New Roman" w:hAnsi="Times New Roman" w:cs="Times New Roman"/>
      <w:sz w:val="24"/>
      <w:szCs w:val="24"/>
    </w:rPr>
  </w:style>
  <w:style w:type="paragraph" w:customStyle="1" w:styleId="xl75">
    <w:name w:val="xl75"/>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jc w:val="right"/>
      <w:textAlignment w:val="center"/>
    </w:pPr>
    <w:rPr>
      <w:rFonts w:ascii="Times New Roman" w:hAnsi="Times New Roman" w:cs="Times New Roman"/>
      <w:sz w:val="24"/>
      <w:szCs w:val="24"/>
    </w:rPr>
  </w:style>
  <w:style w:type="paragraph" w:customStyle="1" w:styleId="xl76">
    <w:name w:val="xl76"/>
    <w:basedOn w:val="Normal"/>
    <w:rsid w:val="00B15E35"/>
    <w:pPr>
      <w:pBdr>
        <w:top w:val="single" w:sz="8" w:space="0" w:color="BFBFBF"/>
        <w:left w:val="single" w:sz="8" w:space="0" w:color="BFBFBF"/>
        <w:bottom w:val="single" w:sz="8" w:space="0" w:color="BFBFBF"/>
        <w:right w:val="single" w:sz="8" w:space="0" w:color="BFBFBF"/>
      </w:pBdr>
      <w:shd w:val="clear" w:color="000000" w:fill="FFFFCC"/>
      <w:spacing w:before="100" w:beforeAutospacing="1" w:after="100" w:afterAutospacing="1"/>
      <w:jc w:val="right"/>
      <w:textAlignment w:val="center"/>
    </w:pPr>
    <w:rPr>
      <w:rFonts w:ascii="Times New Roman" w:hAnsi="Times New Roman" w:cs="Times New Roman"/>
      <w:sz w:val="24"/>
      <w:szCs w:val="24"/>
    </w:rPr>
  </w:style>
  <w:style w:type="paragraph" w:customStyle="1" w:styleId="xl77">
    <w:name w:val="xl77"/>
    <w:basedOn w:val="Normal"/>
    <w:rsid w:val="00B15E35"/>
    <w:pPr>
      <w:pBdr>
        <w:top w:val="single" w:sz="8" w:space="0" w:color="BFBFBF"/>
        <w:left w:val="single" w:sz="8" w:space="0" w:color="BFBFBF"/>
        <w:bottom w:val="single" w:sz="8" w:space="0" w:color="BFBFBF"/>
        <w:right w:val="single" w:sz="8" w:space="0" w:color="BFBFBF"/>
      </w:pBdr>
      <w:spacing w:before="100" w:beforeAutospacing="1" w:after="100" w:afterAutospacing="1"/>
      <w:jc w:val="right"/>
      <w:textAlignment w:val="center"/>
    </w:pPr>
    <w:rPr>
      <w:rFonts w:ascii="Times New Roman" w:hAnsi="Times New Roman" w:cs="Times New Roman"/>
      <w:sz w:val="24"/>
      <w:szCs w:val="24"/>
    </w:rPr>
  </w:style>
  <w:style w:type="paragraph" w:customStyle="1" w:styleId="xl78">
    <w:name w:val="xl78"/>
    <w:basedOn w:val="Normal"/>
    <w:rsid w:val="00B15E35"/>
    <w:pPr>
      <w:spacing w:before="100" w:beforeAutospacing="1" w:after="100" w:afterAutospacing="1"/>
      <w:jc w:val="right"/>
      <w:textAlignment w:val="center"/>
    </w:pPr>
    <w:rPr>
      <w:rFonts w:ascii="Times New Roman" w:hAnsi="Times New Roman" w:cs="Times New Roman"/>
      <w:sz w:val="24"/>
      <w:szCs w:val="24"/>
    </w:rPr>
  </w:style>
  <w:style w:type="paragraph" w:customStyle="1" w:styleId="xl79">
    <w:name w:val="xl79"/>
    <w:basedOn w:val="Normal"/>
    <w:rsid w:val="00B15E35"/>
    <w:pPr>
      <w:pBdr>
        <w:top w:val="single" w:sz="8" w:space="0" w:color="BFBFBF"/>
        <w:left w:val="single" w:sz="8" w:space="0" w:color="BFBFBF"/>
        <w:bottom w:val="single" w:sz="8" w:space="0" w:color="BFBFBF"/>
        <w:right w:val="single" w:sz="8" w:space="0" w:color="BFBFBF"/>
      </w:pBdr>
      <w:shd w:val="clear" w:color="000000" w:fill="FFFF00"/>
      <w:spacing w:before="100" w:beforeAutospacing="1" w:after="100" w:afterAutospacing="1"/>
      <w:textAlignment w:val="center"/>
    </w:pPr>
    <w:rPr>
      <w:rFonts w:ascii="Times New Roman" w:hAnsi="Times New Roman" w:cs="Times New Roman"/>
      <w:sz w:val="24"/>
      <w:szCs w:val="24"/>
    </w:rPr>
  </w:style>
  <w:style w:type="character" w:customStyle="1" w:styleId="Heading1Char1">
    <w:name w:val="Heading 1 Char1"/>
    <w:aliases w:val="TT - Heading 1 Char1"/>
    <w:basedOn w:val="DefaultParagraphFont"/>
    <w:rsid w:val="00B15E35"/>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TT - Heading 2 Char1"/>
    <w:basedOn w:val="DefaultParagraphFont"/>
    <w:semiHidden/>
    <w:rsid w:val="00B15E35"/>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T - Heading 3 Char1"/>
    <w:basedOn w:val="DefaultParagraphFont"/>
    <w:semiHidden/>
    <w:rsid w:val="00B15E35"/>
    <w:rPr>
      <w:rFonts w:asciiTheme="majorHAnsi" w:eastAsiaTheme="majorEastAsia" w:hAnsiTheme="majorHAnsi" w:cstheme="majorBidi"/>
      <w:b/>
      <w:bCs/>
      <w:color w:val="4F81BD" w:themeColor="accent1"/>
      <w:sz w:val="22"/>
    </w:rPr>
  </w:style>
  <w:style w:type="character" w:customStyle="1" w:styleId="Heading4Char1">
    <w:name w:val="Heading 4 Char1"/>
    <w:aliases w:val="TT - Heading 4 Char1"/>
    <w:basedOn w:val="DefaultParagraphFont"/>
    <w:semiHidden/>
    <w:rsid w:val="00B15E35"/>
    <w:rPr>
      <w:rFonts w:asciiTheme="majorHAnsi" w:eastAsiaTheme="majorEastAsia" w:hAnsiTheme="majorHAnsi" w:cstheme="majorBidi"/>
      <w:b/>
      <w:bCs/>
      <w:i/>
      <w:iCs/>
      <w:color w:val="4F81BD" w:themeColor="accent1"/>
      <w:sz w:val="22"/>
    </w:rPr>
  </w:style>
  <w:style w:type="character" w:customStyle="1" w:styleId="Heading5Char1">
    <w:name w:val="Heading 5 Char1"/>
    <w:aliases w:val="TT - Heading 5 Char1"/>
    <w:basedOn w:val="DefaultParagraphFont"/>
    <w:semiHidden/>
    <w:rsid w:val="00B15E35"/>
    <w:rPr>
      <w:rFonts w:asciiTheme="majorHAnsi" w:eastAsiaTheme="majorEastAsia" w:hAnsiTheme="majorHAnsi" w:cstheme="majorBidi"/>
      <w:color w:val="243F60" w:themeColor="accent1" w:themeShade="7F"/>
      <w:sz w:val="22"/>
    </w:rPr>
  </w:style>
  <w:style w:type="character" w:customStyle="1" w:styleId="Heading6Char1">
    <w:name w:val="Heading 6 Char1"/>
    <w:aliases w:val="TT - Heading 6 Char1"/>
    <w:basedOn w:val="DefaultParagraphFont"/>
    <w:semiHidden/>
    <w:rsid w:val="00B15E35"/>
    <w:rPr>
      <w:rFonts w:asciiTheme="majorHAnsi" w:eastAsiaTheme="majorEastAsia" w:hAnsiTheme="majorHAnsi" w:cstheme="majorBidi"/>
      <w:i/>
      <w:iCs/>
      <w:color w:val="243F60" w:themeColor="accent1" w:themeShade="7F"/>
      <w:sz w:val="22"/>
    </w:rPr>
  </w:style>
  <w:style w:type="character" w:customStyle="1" w:styleId="Heading7Char1">
    <w:name w:val="Heading 7 Char1"/>
    <w:aliases w:val="TT - Heading 7 Char1"/>
    <w:basedOn w:val="DefaultParagraphFont"/>
    <w:semiHidden/>
    <w:rsid w:val="00B15E35"/>
    <w:rPr>
      <w:rFonts w:asciiTheme="majorHAnsi" w:eastAsiaTheme="majorEastAsia" w:hAnsiTheme="majorHAnsi" w:cstheme="majorBidi"/>
      <w:i/>
      <w:iCs/>
      <w:color w:val="404040" w:themeColor="text1" w:themeTint="BF"/>
      <w:sz w:val="22"/>
    </w:rPr>
  </w:style>
  <w:style w:type="character" w:customStyle="1" w:styleId="Heading8Char1">
    <w:name w:val="Heading 8 Char1"/>
    <w:aliases w:val="TT - Heading 8 Char1"/>
    <w:basedOn w:val="DefaultParagraphFont"/>
    <w:semiHidden/>
    <w:rsid w:val="00B15E35"/>
    <w:rPr>
      <w:rFonts w:asciiTheme="majorHAnsi" w:eastAsiaTheme="majorEastAsia" w:hAnsiTheme="majorHAnsi" w:cstheme="majorBidi"/>
      <w:color w:val="404040" w:themeColor="text1" w:themeTint="BF"/>
    </w:rPr>
  </w:style>
  <w:style w:type="character" w:customStyle="1" w:styleId="FootnoteTextChar1">
    <w:name w:val="Footnote Text Char1"/>
    <w:aliases w:val="Footnote Text1 Char Char1,Footnote Text Char Ch Char1,Char2 Char Char1,Footnote Text Char Ch Char Char Char Char1,Footnote Text Char Ch Char Char Char2,Footnote Text1 Char Char Char Char1,ft Char Char1,ft Char2"/>
    <w:basedOn w:val="DefaultParagraphFont"/>
    <w:uiPriority w:val="99"/>
    <w:semiHidden/>
    <w:rsid w:val="00B15E35"/>
    <w:rPr>
      <w:rFonts w:ascii="Arial" w:eastAsia="Times New Roman" w:hAnsi="Arial" w:cs="Arial"/>
    </w:rPr>
  </w:style>
  <w:style w:type="character" w:customStyle="1" w:styleId="HeaderChar1">
    <w:name w:val="Header Char1"/>
    <w:aliases w:val="TT - Header Char1"/>
    <w:basedOn w:val="DefaultParagraphFont"/>
    <w:semiHidden/>
    <w:rsid w:val="00B15E35"/>
    <w:rPr>
      <w:rFonts w:ascii="Arial" w:eastAsia="Times New Roman" w:hAnsi="Arial" w:cs="Arial"/>
      <w:sz w:val="22"/>
    </w:rPr>
  </w:style>
  <w:style w:type="character" w:customStyle="1" w:styleId="FooterChar1">
    <w:name w:val="Footer Char1"/>
    <w:aliases w:val="TT - Footer Char1"/>
    <w:basedOn w:val="DefaultParagraphFont"/>
    <w:uiPriority w:val="99"/>
    <w:semiHidden/>
    <w:rsid w:val="00B15E35"/>
    <w:rPr>
      <w:rFonts w:ascii="Arial" w:eastAsia="Times New Roman" w:hAnsi="Arial" w:cs="Arial"/>
      <w:sz w:val="22"/>
    </w:rPr>
  </w:style>
  <w:style w:type="paragraph" w:styleId="NormalWeb">
    <w:name w:val="Normal (Web)"/>
    <w:basedOn w:val="Normal"/>
    <w:uiPriority w:val="99"/>
    <w:unhideWhenUsed/>
    <w:rsid w:val="00B15E35"/>
    <w:pPr>
      <w:spacing w:before="100" w:beforeAutospacing="1" w:after="100" w:afterAutospacing="1"/>
    </w:pPr>
    <w:rPr>
      <w:rFonts w:ascii="Times New Roman" w:hAnsi="Times New Roman" w:cs="Times New Roman"/>
      <w:sz w:val="24"/>
      <w:szCs w:val="24"/>
    </w:rPr>
  </w:style>
  <w:style w:type="table" w:customStyle="1" w:styleId="TableGrid1">
    <w:name w:val="Table Grid1"/>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2">
    <w:name w:val="ItronBasic2"/>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1">
    <w:name w:val="ItronBasic11"/>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TableGrid2">
    <w:name w:val="Table Grid2"/>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3">
    <w:name w:val="ItronBasic3"/>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2">
    <w:name w:val="ItronBasic12"/>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TableGrid3">
    <w:name w:val="Table Grid3"/>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4">
    <w:name w:val="ItronBasic4"/>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3">
    <w:name w:val="ItronBasic13"/>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TableGrid4">
    <w:name w:val="Table Grid4"/>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5">
    <w:name w:val="ItronBasic5"/>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4">
    <w:name w:val="ItronBasic14"/>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TableGrid5">
    <w:name w:val="Table Grid5"/>
    <w:basedOn w:val="TableNormal"/>
    <w:next w:val="TableGrid"/>
    <w:uiPriority w:val="59"/>
    <w:rsid w:val="00B1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6">
    <w:name w:val="ItronBasic6"/>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5">
    <w:name w:val="ItronBasic15"/>
    <w:basedOn w:val="TableNormal"/>
    <w:uiPriority w:val="99"/>
    <w:qFormat/>
    <w:rsid w:val="00B15E35"/>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customStyle="1" w:styleId="pJ">
    <w:name w:val="pJ"/>
    <w:next w:val="Normal"/>
    <w:rsid w:val="00B15E35"/>
    <w:pPr>
      <w:spacing w:after="130" w:line="320" w:lineRule="atLeast"/>
      <w:ind w:left="720" w:hanging="432"/>
      <w:jc w:val="both"/>
    </w:pPr>
    <w:rPr>
      <w:sz w:val="24"/>
      <w:szCs w:val="24"/>
    </w:rPr>
  </w:style>
  <w:style w:type="paragraph" w:customStyle="1" w:styleId="pB">
    <w:name w:val="pB"/>
    <w:basedOn w:val="Normal"/>
    <w:next w:val="pA2"/>
    <w:rsid w:val="00B15E35"/>
    <w:pPr>
      <w:tabs>
        <w:tab w:val="left" w:pos="720"/>
        <w:tab w:val="left" w:pos="1080"/>
      </w:tabs>
      <w:spacing w:before="240"/>
      <w:ind w:right="288"/>
    </w:pPr>
  </w:style>
  <w:style w:type="paragraph" w:customStyle="1" w:styleId="pF">
    <w:name w:val="pF"/>
    <w:next w:val="Normal2"/>
    <w:rsid w:val="00B15E35"/>
    <w:pPr>
      <w:spacing w:after="130" w:line="320" w:lineRule="atLeast"/>
      <w:ind w:left="720" w:hanging="432"/>
      <w:jc w:val="both"/>
    </w:pPr>
    <w:rPr>
      <w:sz w:val="24"/>
      <w:szCs w:val="24"/>
    </w:rPr>
  </w:style>
  <w:style w:type="paragraph" w:customStyle="1" w:styleId="pS">
    <w:name w:val="pS"/>
    <w:rsid w:val="00B15E35"/>
    <w:pPr>
      <w:tabs>
        <w:tab w:val="left" w:pos="720"/>
        <w:tab w:val="left" w:pos="1080"/>
      </w:tabs>
      <w:spacing w:after="130" w:line="320" w:lineRule="atLeast"/>
      <w:ind w:left="720" w:right="288" w:hanging="432"/>
      <w:jc w:val="both"/>
    </w:pPr>
    <w:rPr>
      <w:sz w:val="24"/>
      <w:szCs w:val="24"/>
    </w:rPr>
  </w:style>
  <w:style w:type="paragraph" w:customStyle="1" w:styleId="pD">
    <w:name w:val="pD"/>
    <w:basedOn w:val="pF"/>
    <w:rsid w:val="00B15E35"/>
    <w:pPr>
      <w:tabs>
        <w:tab w:val="left" w:pos="1152"/>
      </w:tabs>
      <w:spacing w:before="60" w:line="280" w:lineRule="atLeast"/>
      <w:ind w:left="1152" w:right="288"/>
    </w:pPr>
  </w:style>
  <w:style w:type="paragraph" w:customStyle="1" w:styleId="pE">
    <w:name w:val="pE"/>
    <w:basedOn w:val="pD"/>
    <w:rsid w:val="00B15E35"/>
    <w:pPr>
      <w:tabs>
        <w:tab w:val="clear" w:pos="1152"/>
      </w:tabs>
      <w:spacing w:line="240" w:lineRule="atLeast"/>
      <w:ind w:left="1440" w:hanging="288"/>
    </w:pPr>
  </w:style>
  <w:style w:type="paragraph" w:styleId="Index1">
    <w:name w:val="index 1"/>
    <w:basedOn w:val="Normal"/>
    <w:next w:val="Normal"/>
    <w:rsid w:val="00B15E35"/>
    <w:pPr>
      <w:spacing w:before="240"/>
    </w:pPr>
    <w:rPr>
      <w:rFonts w:ascii="Tms Rmn" w:hAnsi="Tms Rmn"/>
    </w:rPr>
  </w:style>
  <w:style w:type="paragraph" w:styleId="Index2">
    <w:name w:val="index 2"/>
    <w:basedOn w:val="Normal"/>
    <w:next w:val="Normal"/>
    <w:rsid w:val="00B15E35"/>
    <w:pPr>
      <w:spacing w:before="240"/>
      <w:ind w:left="360"/>
    </w:pPr>
    <w:rPr>
      <w:rFonts w:ascii="Tms Rmn" w:hAnsi="Tms Rmn"/>
    </w:rPr>
  </w:style>
  <w:style w:type="paragraph" w:styleId="Index3">
    <w:name w:val="index 3"/>
    <w:basedOn w:val="Normal"/>
    <w:next w:val="Normal"/>
    <w:rsid w:val="00B15E35"/>
    <w:pPr>
      <w:spacing w:before="240"/>
    </w:pPr>
    <w:rPr>
      <w:rFonts w:ascii="Tms Rmn" w:hAnsi="Tms Rmn"/>
    </w:rPr>
  </w:style>
  <w:style w:type="paragraph" w:styleId="Index4">
    <w:name w:val="index 4"/>
    <w:basedOn w:val="Normal"/>
    <w:next w:val="Normal"/>
    <w:rsid w:val="00B15E35"/>
    <w:pPr>
      <w:spacing w:before="240"/>
    </w:pPr>
    <w:rPr>
      <w:rFonts w:ascii="Tms Rmn" w:hAnsi="Tms Rmn"/>
    </w:rPr>
  </w:style>
  <w:style w:type="paragraph" w:styleId="Index5">
    <w:name w:val="index 5"/>
    <w:basedOn w:val="Normal"/>
    <w:next w:val="Normal"/>
    <w:rsid w:val="00B15E35"/>
    <w:pPr>
      <w:spacing w:before="240"/>
      <w:ind w:left="1440"/>
    </w:pPr>
    <w:rPr>
      <w:rFonts w:ascii="Tms Rmn" w:hAnsi="Tms Rmn"/>
    </w:rPr>
  </w:style>
  <w:style w:type="paragraph" w:styleId="Index6">
    <w:name w:val="index 6"/>
    <w:basedOn w:val="Normal"/>
    <w:next w:val="Normal"/>
    <w:rsid w:val="00B15E35"/>
    <w:pPr>
      <w:spacing w:before="240"/>
      <w:ind w:left="1800"/>
    </w:pPr>
    <w:rPr>
      <w:rFonts w:ascii="Tms Rmn" w:hAnsi="Tms Rmn"/>
    </w:rPr>
  </w:style>
  <w:style w:type="paragraph" w:styleId="Index7">
    <w:name w:val="index 7"/>
    <w:basedOn w:val="Normal"/>
    <w:next w:val="Normal"/>
    <w:rsid w:val="00B15E35"/>
    <w:pPr>
      <w:spacing w:before="240"/>
      <w:ind w:left="2160"/>
    </w:pPr>
    <w:rPr>
      <w:rFonts w:ascii="Tms Rmn" w:hAnsi="Tms Rmn"/>
    </w:rPr>
  </w:style>
  <w:style w:type="paragraph" w:styleId="IndexHeading">
    <w:name w:val="index heading"/>
    <w:basedOn w:val="Normal"/>
    <w:next w:val="Index1"/>
    <w:rsid w:val="00B15E35"/>
    <w:pPr>
      <w:spacing w:before="240"/>
    </w:pPr>
    <w:rPr>
      <w:rFonts w:ascii="Tms Rmn" w:hAnsi="Tms Rmn"/>
    </w:rPr>
  </w:style>
  <w:style w:type="character" w:styleId="LineNumber">
    <w:name w:val="line number"/>
    <w:basedOn w:val="DefaultParagraphFont"/>
    <w:rsid w:val="00B15E35"/>
  </w:style>
  <w:style w:type="paragraph" w:customStyle="1" w:styleId="pA">
    <w:name w:val="pA"/>
    <w:next w:val="pF"/>
    <w:rsid w:val="00B15E35"/>
    <w:pPr>
      <w:spacing w:after="130" w:line="130" w:lineRule="exact"/>
      <w:ind w:left="720" w:hanging="432"/>
      <w:jc w:val="both"/>
    </w:pPr>
    <w:rPr>
      <w:sz w:val="24"/>
      <w:szCs w:val="24"/>
    </w:rPr>
  </w:style>
  <w:style w:type="paragraph" w:customStyle="1" w:styleId="pG">
    <w:name w:val="pG"/>
    <w:basedOn w:val="Normal"/>
    <w:rsid w:val="00B15E35"/>
    <w:pPr>
      <w:keepNext/>
      <w:spacing w:before="240" w:after="130"/>
      <w:ind w:left="720" w:hanging="432"/>
    </w:pPr>
    <w:rPr>
      <w:b/>
      <w:bCs/>
    </w:rPr>
  </w:style>
  <w:style w:type="paragraph" w:customStyle="1" w:styleId="pT">
    <w:name w:val="pT"/>
    <w:basedOn w:val="Normal"/>
    <w:rsid w:val="00B15E35"/>
    <w:pPr>
      <w:keepNext/>
      <w:spacing w:before="240" w:after="130"/>
      <w:ind w:left="720" w:hanging="432"/>
    </w:pPr>
    <w:rPr>
      <w:b/>
      <w:bCs/>
    </w:rPr>
  </w:style>
  <w:style w:type="paragraph" w:customStyle="1" w:styleId="pX">
    <w:name w:val="pX"/>
    <w:basedOn w:val="pF"/>
    <w:rsid w:val="00B15E35"/>
    <w:pPr>
      <w:spacing w:line="240" w:lineRule="atLeast"/>
    </w:pPr>
  </w:style>
  <w:style w:type="paragraph" w:customStyle="1" w:styleId="TitlePage">
    <w:name w:val="Title Page"/>
    <w:basedOn w:val="Normal"/>
    <w:rsid w:val="00B15E35"/>
    <w:pPr>
      <w:spacing w:before="240" w:after="130"/>
      <w:ind w:left="1440" w:right="1440" w:hanging="432"/>
      <w:jc w:val="center"/>
    </w:pPr>
    <w:rPr>
      <w:b/>
      <w:bCs/>
      <w:sz w:val="36"/>
      <w:szCs w:val="36"/>
    </w:rPr>
  </w:style>
  <w:style w:type="paragraph" w:styleId="EnvelopeAddress">
    <w:name w:val="envelope address"/>
    <w:basedOn w:val="Normal"/>
    <w:rsid w:val="00B15E35"/>
    <w:pPr>
      <w:framePr w:w="7920" w:h="1980" w:hRule="exact" w:hSpace="180" w:wrap="auto" w:hAnchor="page" w:xAlign="center" w:yAlign="bottom"/>
      <w:spacing w:before="240"/>
      <w:ind w:left="2880"/>
    </w:pPr>
    <w:rPr>
      <w:rFonts w:ascii="Arial Narrow" w:hAnsi="Arial Narrow"/>
      <w:smallCaps/>
    </w:rPr>
  </w:style>
  <w:style w:type="paragraph" w:customStyle="1" w:styleId="Large">
    <w:name w:val="Large"/>
    <w:basedOn w:val="pF"/>
    <w:next w:val="pF"/>
    <w:rsid w:val="00B15E35"/>
    <w:pPr>
      <w:keepNext/>
      <w:spacing w:before="480" w:after="360" w:line="720" w:lineRule="exact"/>
    </w:pPr>
    <w:rPr>
      <w:rFonts w:ascii="Arial" w:hAnsi="Arial" w:cs="Arial"/>
      <w:b/>
      <w:bCs/>
      <w:i/>
      <w:iCs/>
      <w:sz w:val="72"/>
      <w:szCs w:val="72"/>
    </w:rPr>
  </w:style>
  <w:style w:type="paragraph" w:customStyle="1" w:styleId="pA2">
    <w:name w:val="pA2"/>
    <w:basedOn w:val="pA"/>
    <w:next w:val="pB"/>
    <w:rsid w:val="00B15E35"/>
  </w:style>
  <w:style w:type="paragraph" w:customStyle="1" w:styleId="resumeparagraph">
    <w:name w:val="resume paragraph"/>
    <w:rsid w:val="00B15E35"/>
    <w:pPr>
      <w:spacing w:before="100" w:after="130" w:line="240" w:lineRule="exact"/>
      <w:ind w:left="720" w:hanging="288"/>
      <w:jc w:val="both"/>
    </w:pPr>
    <w:rPr>
      <w:sz w:val="24"/>
      <w:szCs w:val="24"/>
    </w:rPr>
  </w:style>
  <w:style w:type="paragraph" w:customStyle="1" w:styleId="Headline">
    <w:name w:val="Headline"/>
    <w:basedOn w:val="Normal"/>
    <w:rsid w:val="00B15E35"/>
    <w:pPr>
      <w:spacing w:before="240"/>
    </w:pPr>
    <w:rPr>
      <w:b/>
      <w:bCs/>
      <w:sz w:val="36"/>
      <w:szCs w:val="36"/>
    </w:rPr>
  </w:style>
  <w:style w:type="paragraph" w:customStyle="1" w:styleId="projtitle">
    <w:name w:val="projtitle"/>
    <w:basedOn w:val="Normal"/>
    <w:next w:val="For"/>
    <w:rsid w:val="00B15E35"/>
    <w:pPr>
      <w:keepNext/>
      <w:keepLines/>
      <w:tabs>
        <w:tab w:val="left" w:pos="720"/>
        <w:tab w:val="left" w:pos="1080"/>
      </w:tabs>
      <w:spacing w:before="240" w:line="280" w:lineRule="exact"/>
      <w:ind w:left="288" w:right="288"/>
    </w:pPr>
    <w:rPr>
      <w:b/>
      <w:bCs/>
      <w:i/>
      <w:iCs/>
    </w:rPr>
  </w:style>
  <w:style w:type="paragraph" w:customStyle="1" w:styleId="summary">
    <w:name w:val="summary"/>
    <w:basedOn w:val="pB"/>
    <w:next w:val="projtitle"/>
    <w:rsid w:val="00B15E35"/>
    <w:pPr>
      <w:tabs>
        <w:tab w:val="clear" w:pos="720"/>
        <w:tab w:val="clear" w:pos="1080"/>
        <w:tab w:val="left" w:pos="-1170"/>
      </w:tabs>
      <w:spacing w:after="240"/>
    </w:pPr>
  </w:style>
  <w:style w:type="paragraph" w:customStyle="1" w:styleId="For">
    <w:name w:val="For"/>
    <w:basedOn w:val="Normal"/>
    <w:next w:val="Contact"/>
    <w:rsid w:val="00B15E35"/>
    <w:pPr>
      <w:keepNext/>
      <w:keepLines/>
      <w:tabs>
        <w:tab w:val="left" w:pos="720"/>
        <w:tab w:val="left" w:pos="1080"/>
      </w:tabs>
      <w:spacing w:before="240" w:line="280" w:lineRule="exact"/>
      <w:ind w:left="1152" w:right="288"/>
    </w:pPr>
  </w:style>
  <w:style w:type="paragraph" w:customStyle="1" w:styleId="Contact">
    <w:name w:val="Contact"/>
    <w:basedOn w:val="Normal"/>
    <w:next w:val="summary"/>
    <w:rsid w:val="00B15E35"/>
    <w:pPr>
      <w:keepNext/>
      <w:keepLines/>
      <w:tabs>
        <w:tab w:val="left" w:pos="720"/>
        <w:tab w:val="left" w:pos="1080"/>
      </w:tabs>
      <w:spacing w:before="240" w:line="280" w:lineRule="exact"/>
      <w:ind w:left="1152" w:right="288"/>
    </w:pPr>
  </w:style>
  <w:style w:type="paragraph" w:customStyle="1" w:styleId="question">
    <w:name w:val="question"/>
    <w:basedOn w:val="pF"/>
    <w:rsid w:val="00B15E35"/>
    <w:pPr>
      <w:ind w:hanging="720"/>
    </w:pPr>
  </w:style>
  <w:style w:type="paragraph" w:customStyle="1" w:styleId="Variabledefinition">
    <w:name w:val="Variable definition"/>
    <w:basedOn w:val="pD"/>
    <w:rsid w:val="00B15E35"/>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B15E35"/>
    <w:pPr>
      <w:keepNext/>
      <w:keepLines/>
      <w:tabs>
        <w:tab w:val="left" w:pos="274"/>
      </w:tabs>
      <w:spacing w:before="60"/>
      <w:ind w:left="274" w:hanging="274"/>
    </w:pPr>
    <w:rPr>
      <w:sz w:val="20"/>
    </w:rPr>
  </w:style>
  <w:style w:type="paragraph" w:styleId="Title">
    <w:name w:val="Title"/>
    <w:basedOn w:val="Normal"/>
    <w:next w:val="TitleSub"/>
    <w:link w:val="TitleChar"/>
    <w:uiPriority w:val="10"/>
    <w:qFormat/>
    <w:locked/>
    <w:rsid w:val="00B15E35"/>
    <w:pPr>
      <w:spacing w:before="240"/>
      <w:contextualSpacing/>
      <w:jc w:val="right"/>
    </w:pPr>
    <w:rPr>
      <w:b/>
      <w:color w:val="17365D"/>
      <w:spacing w:val="5"/>
      <w:kern w:val="28"/>
      <w:sz w:val="40"/>
      <w:szCs w:val="52"/>
    </w:rPr>
  </w:style>
  <w:style w:type="character" w:customStyle="1" w:styleId="TitleChar">
    <w:name w:val="Title Char"/>
    <w:basedOn w:val="DefaultParagraphFont"/>
    <w:link w:val="Title"/>
    <w:uiPriority w:val="10"/>
    <w:rsid w:val="00B15E35"/>
    <w:rPr>
      <w:rFonts w:ascii="Arial" w:hAnsi="Arial" w:cs="Arial"/>
      <w:b/>
      <w:color w:val="17365D"/>
      <w:spacing w:val="5"/>
      <w:kern w:val="28"/>
      <w:sz w:val="40"/>
      <w:szCs w:val="52"/>
    </w:rPr>
  </w:style>
  <w:style w:type="paragraph" w:customStyle="1" w:styleId="CEUSIndent5">
    <w:name w:val="CEUS_Indent5"/>
    <w:basedOn w:val="pE"/>
    <w:rsid w:val="00B15E35"/>
    <w:pPr>
      <w:ind w:left="2070" w:hanging="432"/>
    </w:pPr>
    <w:rPr>
      <w:szCs w:val="20"/>
    </w:rPr>
  </w:style>
  <w:style w:type="numbering" w:customStyle="1" w:styleId="CnAListBullets">
    <w:name w:val="CnAListBullets"/>
    <w:uiPriority w:val="99"/>
    <w:rsid w:val="00B15E35"/>
    <w:pPr>
      <w:numPr>
        <w:numId w:val="11"/>
      </w:numPr>
    </w:pPr>
  </w:style>
  <w:style w:type="paragraph" w:customStyle="1" w:styleId="CoverTitle">
    <w:name w:val="CoverTitle"/>
    <w:basedOn w:val="Normal"/>
    <w:link w:val="CoverTitleChar"/>
    <w:qFormat/>
    <w:rsid w:val="00B15E35"/>
    <w:pPr>
      <w:spacing w:before="240" w:after="120"/>
      <w:jc w:val="center"/>
    </w:pPr>
    <w:rPr>
      <w:b/>
      <w:sz w:val="40"/>
    </w:rPr>
  </w:style>
  <w:style w:type="character" w:customStyle="1" w:styleId="CoverTitleChar">
    <w:name w:val="CoverTitle Char"/>
    <w:basedOn w:val="DefaultParagraphFont"/>
    <w:link w:val="CoverTitle"/>
    <w:rsid w:val="00B15E35"/>
    <w:rPr>
      <w:rFonts w:ascii="Arial" w:hAnsi="Arial" w:cs="Arial"/>
      <w:b/>
      <w:sz w:val="40"/>
    </w:rPr>
  </w:style>
  <w:style w:type="paragraph" w:customStyle="1" w:styleId="CoverNormal">
    <w:name w:val="CoverNormal"/>
    <w:basedOn w:val="Normal"/>
    <w:link w:val="CoverNormalChar"/>
    <w:qFormat/>
    <w:rsid w:val="00B15E35"/>
    <w:pPr>
      <w:spacing w:before="240"/>
      <w:contextualSpacing/>
      <w:jc w:val="center"/>
    </w:pPr>
  </w:style>
  <w:style w:type="character" w:customStyle="1" w:styleId="CoverNormalChar">
    <w:name w:val="CoverNormal Char"/>
    <w:basedOn w:val="DefaultParagraphFont"/>
    <w:link w:val="CoverNormal"/>
    <w:rsid w:val="00B15E35"/>
    <w:rPr>
      <w:rFonts w:ascii="Arial" w:hAnsi="Arial" w:cs="Arial"/>
      <w:sz w:val="22"/>
    </w:rPr>
  </w:style>
  <w:style w:type="paragraph" w:customStyle="1" w:styleId="Halfline">
    <w:name w:val="Halfline"/>
    <w:basedOn w:val="Normal"/>
    <w:next w:val="Normal"/>
    <w:link w:val="HalflineChar"/>
    <w:qFormat/>
    <w:rsid w:val="00B15E35"/>
    <w:pPr>
      <w:spacing w:before="240" w:after="130" w:line="130" w:lineRule="exact"/>
    </w:pPr>
  </w:style>
  <w:style w:type="character" w:customStyle="1" w:styleId="HalflineChar">
    <w:name w:val="Halfline Char"/>
    <w:basedOn w:val="DefaultParagraphFont"/>
    <w:link w:val="Halfline"/>
    <w:rsid w:val="00B15E35"/>
    <w:rPr>
      <w:rFonts w:ascii="Arial" w:hAnsi="Arial" w:cs="Arial"/>
      <w:sz w:val="22"/>
    </w:rPr>
  </w:style>
  <w:style w:type="paragraph" w:customStyle="1" w:styleId="LetterheadParagraph">
    <w:name w:val="Letterhead Paragraph"/>
    <w:basedOn w:val="Normal"/>
    <w:qFormat/>
    <w:rsid w:val="00B15E35"/>
    <w:pPr>
      <w:spacing w:before="240"/>
    </w:pPr>
    <w:rPr>
      <w:rFonts w:ascii="Arial Narrow" w:hAnsi="Arial Narrow"/>
    </w:rPr>
  </w:style>
  <w:style w:type="character" w:customStyle="1" w:styleId="tablefootnoteChar">
    <w:name w:val="table footnote Char"/>
    <w:basedOn w:val="DefaultParagraphFont"/>
    <w:link w:val="tablefootnote"/>
    <w:rsid w:val="00B15E35"/>
    <w:rPr>
      <w:rFonts w:ascii="Arial" w:hAnsi="Arial" w:cs="Arial"/>
    </w:rPr>
  </w:style>
  <w:style w:type="paragraph" w:customStyle="1" w:styleId="TitleSub">
    <w:name w:val="TitleSub"/>
    <w:basedOn w:val="Title"/>
    <w:link w:val="TitleSubChar"/>
    <w:autoRedefine/>
    <w:qFormat/>
    <w:rsid w:val="00B15E35"/>
    <w:rPr>
      <w:b w:val="0"/>
      <w:sz w:val="32"/>
    </w:rPr>
  </w:style>
  <w:style w:type="character" w:customStyle="1" w:styleId="TitleSubChar">
    <w:name w:val="TitleSub Char"/>
    <w:basedOn w:val="TitleChar"/>
    <w:link w:val="TitleSub"/>
    <w:rsid w:val="00B15E35"/>
    <w:rPr>
      <w:rFonts w:ascii="Arial" w:hAnsi="Arial" w:cs="Arial"/>
      <w:b w:val="0"/>
      <w:color w:val="17365D"/>
      <w:spacing w:val="5"/>
      <w:kern w:val="28"/>
      <w:sz w:val="32"/>
      <w:szCs w:val="52"/>
    </w:rPr>
  </w:style>
  <w:style w:type="paragraph" w:customStyle="1" w:styleId="TitleAdd">
    <w:name w:val="TitleAdd"/>
    <w:basedOn w:val="Title"/>
    <w:link w:val="TitleAddChar"/>
    <w:autoRedefine/>
    <w:qFormat/>
    <w:rsid w:val="00B15E35"/>
    <w:rPr>
      <w:b w:val="0"/>
      <w:sz w:val="24"/>
      <w:szCs w:val="32"/>
    </w:rPr>
  </w:style>
  <w:style w:type="character" w:customStyle="1" w:styleId="TitleAddChar">
    <w:name w:val="TitleAdd Char"/>
    <w:basedOn w:val="TitleChar"/>
    <w:link w:val="TitleAdd"/>
    <w:rsid w:val="00B15E35"/>
    <w:rPr>
      <w:rFonts w:ascii="Arial" w:hAnsi="Arial" w:cs="Arial"/>
      <w:b w:val="0"/>
      <w:color w:val="17365D"/>
      <w:spacing w:val="5"/>
      <w:kern w:val="28"/>
      <w:sz w:val="24"/>
      <w:szCs w:val="32"/>
    </w:rPr>
  </w:style>
  <w:style w:type="paragraph" w:customStyle="1" w:styleId="Normal2">
    <w:name w:val="Normal2"/>
    <w:basedOn w:val="Normal"/>
    <w:next w:val="pF"/>
    <w:rsid w:val="00B15E35"/>
    <w:pPr>
      <w:spacing w:before="240"/>
    </w:pPr>
    <w:rPr>
      <w:b/>
    </w:rPr>
  </w:style>
  <w:style w:type="numbering" w:customStyle="1" w:styleId="EquationNumbering">
    <w:name w:val="EquationNumbering"/>
    <w:uiPriority w:val="99"/>
    <w:rsid w:val="00B15E35"/>
    <w:pPr>
      <w:numPr>
        <w:numId w:val="12"/>
      </w:numPr>
    </w:pPr>
  </w:style>
  <w:style w:type="character" w:customStyle="1" w:styleId="apple-converted-space">
    <w:name w:val="apple-converted-space"/>
    <w:basedOn w:val="DefaultParagraphFont"/>
    <w:rsid w:val="00B15E35"/>
  </w:style>
  <w:style w:type="paragraph" w:customStyle="1" w:styleId="HangIndent">
    <w:name w:val="Hang Indent"/>
    <w:basedOn w:val="pF"/>
    <w:rsid w:val="00B15E35"/>
    <w:pPr>
      <w:spacing w:after="0"/>
      <w:ind w:left="2880" w:hanging="2880"/>
      <w:jc w:val="left"/>
    </w:pPr>
    <w:rPr>
      <w:rFonts w:ascii="Arial Narrow" w:hAnsi="Arial Narrow"/>
    </w:rPr>
  </w:style>
  <w:style w:type="paragraph" w:customStyle="1" w:styleId="Standard">
    <w:name w:val="* Standard"/>
    <w:basedOn w:val="Normal"/>
    <w:qFormat/>
    <w:rsid w:val="00B15E35"/>
    <w:pPr>
      <w:spacing w:before="240"/>
    </w:pPr>
    <w:rPr>
      <w:rFonts w:ascii="Franklin Gothic Book" w:hAnsi="Franklin Gothic Book" w:cs="Times New Roman"/>
      <w:szCs w:val="22"/>
    </w:rPr>
  </w:style>
  <w:style w:type="numbering" w:customStyle="1" w:styleId="EquationList">
    <w:name w:val="Equation List"/>
    <w:uiPriority w:val="99"/>
    <w:rsid w:val="00B15E35"/>
    <w:pPr>
      <w:numPr>
        <w:numId w:val="13"/>
      </w:numPr>
    </w:pPr>
  </w:style>
  <w:style w:type="paragraph" w:customStyle="1" w:styleId="source1">
    <w:name w:val="source 1"/>
    <w:basedOn w:val="ListParagraph"/>
    <w:qFormat/>
    <w:rsid w:val="00B15E35"/>
    <w:pPr>
      <w:overflowPunct w:val="0"/>
      <w:autoSpaceDE w:val="0"/>
      <w:autoSpaceDN w:val="0"/>
      <w:spacing w:after="100" w:line="288" w:lineRule="auto"/>
      <w:ind w:left="0"/>
      <w:contextualSpacing w:val="0"/>
      <w:textAlignment w:val="baseline"/>
    </w:pPr>
    <w:rPr>
      <w:rFonts w:ascii="Arial" w:eastAsia="Times New Roman" w:hAnsi="Arial" w:cs="Arial"/>
      <w:sz w:val="20"/>
      <w:szCs w:val="20"/>
    </w:rPr>
  </w:style>
  <w:style w:type="paragraph" w:customStyle="1" w:styleId="source2">
    <w:name w:val="source 2"/>
    <w:basedOn w:val="ListParagraph"/>
    <w:qFormat/>
    <w:rsid w:val="00B15E35"/>
    <w:pPr>
      <w:overflowPunct w:val="0"/>
      <w:autoSpaceDE w:val="0"/>
      <w:autoSpaceDN w:val="0"/>
      <w:spacing w:after="100" w:line="288" w:lineRule="auto"/>
      <w:ind w:left="0"/>
      <w:contextualSpacing w:val="0"/>
      <w:textAlignment w:val="baseline"/>
    </w:pPr>
    <w:rPr>
      <w:rFonts w:ascii="Arial" w:eastAsia="Calibri" w:hAnsi="Arial" w:cs="Arial"/>
      <w:sz w:val="20"/>
      <w:szCs w:val="20"/>
    </w:rPr>
  </w:style>
  <w:style w:type="paragraph" w:customStyle="1" w:styleId="EquationNumber">
    <w:name w:val="Equation Number"/>
    <w:basedOn w:val="Caption"/>
    <w:link w:val="EquationNumberChar"/>
    <w:qFormat/>
    <w:rsid w:val="00B15E35"/>
    <w:pPr>
      <w:keepNext w:val="0"/>
      <w:keepLines w:val="0"/>
      <w:jc w:val="right"/>
    </w:pPr>
  </w:style>
  <w:style w:type="character" w:customStyle="1" w:styleId="EquationNumberChar">
    <w:name w:val="Equation Number Char"/>
    <w:basedOn w:val="CaptionChar"/>
    <w:link w:val="EquationNumber"/>
    <w:rsid w:val="00B15E35"/>
    <w:rPr>
      <w:rFonts w:ascii="Arial" w:eastAsiaTheme="minorEastAsia" w:hAnsi="Arial" w:cstheme="minorBidi"/>
      <w:b/>
      <w:bCs/>
      <w:szCs w:val="18"/>
    </w:rPr>
  </w:style>
  <w:style w:type="table" w:styleId="LightList-Accent1">
    <w:name w:val="Light List Accent 1"/>
    <w:basedOn w:val="TableNormal"/>
    <w:uiPriority w:val="61"/>
    <w:rsid w:val="00B15E35"/>
    <w:rPr>
      <w:rFonts w:ascii="Calibri" w:eastAsia="Calibri" w:hAnsi="Calibr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EqVariable">
    <w:name w:val="Eq. Variable"/>
    <w:basedOn w:val="BodyText"/>
    <w:qFormat/>
    <w:rsid w:val="00B15E35"/>
    <w:pPr>
      <w:keepLines/>
      <w:tabs>
        <w:tab w:val="left" w:pos="2160"/>
        <w:tab w:val="left" w:pos="2880"/>
      </w:tabs>
      <w:snapToGrid/>
      <w:spacing w:line="276" w:lineRule="auto"/>
      <w:ind w:left="2880" w:hanging="2160"/>
    </w:pPr>
    <w:rPr>
      <w:rFonts w:ascii="Cambria Math" w:hAnsi="Cambria Math"/>
      <w:i/>
      <w:snapToGrid w:val="0"/>
      <w:color w:val="474746"/>
      <w:sz w:val="20"/>
      <w:szCs w:val="22"/>
    </w:rPr>
  </w:style>
  <w:style w:type="table" w:customStyle="1" w:styleId="TableNew">
    <w:name w:val="Table New"/>
    <w:basedOn w:val="TableTheme"/>
    <w:uiPriority w:val="99"/>
    <w:rsid w:val="00B15E35"/>
    <w:pPr>
      <w:widowControl w:val="0"/>
      <w:jc w:val="center"/>
    </w:pPr>
    <w:rPr>
      <w:rFonts w:ascii="Univers LT Std 55" w:hAnsi="Univers LT Std 55"/>
      <w:lang w:eastAsia="zh-CN"/>
    </w:rPr>
    <w:tblPr>
      <w:tblStyleRowBandSize w:val="1"/>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left w:w="115" w:type="dxa"/>
        <w:bottom w:w="29" w:type="dxa"/>
        <w:right w:w="115" w:type="dxa"/>
      </w:tblCellMar>
    </w:tblPr>
    <w:trPr>
      <w:jc w:val="center"/>
    </w:trPr>
    <w:tcPr>
      <w:vAlign w:val="center"/>
    </w:tcPr>
    <w:tblStylePr w:type="firstRow">
      <w:pPr>
        <w:keepNext/>
        <w:keepLines/>
        <w:wordWrap/>
        <w:jc w:val="center"/>
      </w:pPr>
      <w:rPr>
        <w:rFonts w:ascii="Franklin Gothic Medium Cond" w:hAnsi="Franklin Gothic Medium Cond"/>
        <w:b/>
        <w:color w:val="FFFFFF" w:themeColor="background1"/>
        <w:sz w:val="20"/>
      </w:rPr>
      <w:tblPr/>
      <w:trPr>
        <w:tblHeader/>
      </w:trPr>
      <w:tcPr>
        <w:shd w:val="clear" w:color="auto" w:fill="1B315E"/>
      </w:tcPr>
    </w:tblStylePr>
    <w:tblStylePr w:type="firstCol">
      <w:pPr>
        <w:wordWrap/>
        <w:jc w:val="left"/>
      </w:pPr>
    </w:tblStylePr>
    <w:tblStylePr w:type="band1Horz">
      <w:pPr>
        <w:keepNext w:val="0"/>
        <w:keepLines/>
        <w:wordWrap/>
      </w:pPr>
      <w:rPr>
        <w:rFonts w:ascii="Franklin Gothic Medium Cond" w:hAnsi="Franklin Gothic Medium Cond"/>
        <w:b w:val="0"/>
        <w:color w:val="474746"/>
        <w:sz w:val="20"/>
      </w:rPr>
      <w:tblPr/>
      <w:tcPr>
        <w:shd w:val="clear" w:color="auto" w:fill="F6C067"/>
      </w:tcPr>
    </w:tblStylePr>
    <w:tblStylePr w:type="band2Horz">
      <w:rPr>
        <w:rFonts w:ascii="Franklin Gothic Medium Cond" w:hAnsi="Franklin Gothic Medium Cond"/>
        <w:b w:val="0"/>
        <w:color w:val="0D0D0D" w:themeColor="text1" w:themeTint="F2"/>
        <w:sz w:val="20"/>
      </w:rPr>
      <w:tblPr/>
      <w:tcPr>
        <w:shd w:val="clear" w:color="auto" w:fill="EA8E3F"/>
      </w:tcPr>
    </w:tblStylePr>
  </w:style>
  <w:style w:type="table" w:styleId="TableTheme">
    <w:name w:val="Table Theme"/>
    <w:basedOn w:val="TableNormal"/>
    <w:uiPriority w:val="99"/>
    <w:semiHidden/>
    <w:unhideWhenUsed/>
    <w:rsid w:val="00B15E35"/>
    <w:pPr>
      <w:spacing w:before="240"/>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B15E35"/>
    <w:rPr>
      <w:color w:val="2B579A"/>
      <w:shd w:val="clear" w:color="auto" w:fill="E6E6E6"/>
    </w:rPr>
  </w:style>
  <w:style w:type="character" w:customStyle="1" w:styleId="UnresolvedMention1">
    <w:name w:val="Unresolved Mention1"/>
    <w:basedOn w:val="DefaultParagraphFont"/>
    <w:uiPriority w:val="99"/>
    <w:semiHidden/>
    <w:unhideWhenUsed/>
    <w:rsid w:val="00B15E35"/>
    <w:rPr>
      <w:color w:val="808080"/>
      <w:shd w:val="clear" w:color="auto" w:fill="E6E6E6"/>
    </w:rPr>
  </w:style>
  <w:style w:type="table" w:customStyle="1" w:styleId="TableGrid6">
    <w:name w:val="Table Grid6"/>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tron1">
    <w:name w:val="Itron1"/>
    <w:uiPriority w:val="99"/>
    <w:rsid w:val="00995752"/>
    <w:pPr>
      <w:numPr>
        <w:numId w:val="9"/>
      </w:numPr>
    </w:pPr>
  </w:style>
  <w:style w:type="table" w:customStyle="1" w:styleId="ItronBasic7">
    <w:name w:val="ItronBasic7"/>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6">
    <w:name w:val="ItronBasic16"/>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TableGrid11">
    <w:name w:val="Table Grid1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21">
    <w:name w:val="ItronBasic2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11">
    <w:name w:val="ItronBasic11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TableGrid21">
    <w:name w:val="Table Grid2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31">
    <w:name w:val="ItronBasic3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21">
    <w:name w:val="ItronBasic12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TableGrid31">
    <w:name w:val="Table Grid3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41">
    <w:name w:val="ItronBasic4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31">
    <w:name w:val="ItronBasic13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TableGrid41">
    <w:name w:val="Table Grid4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51">
    <w:name w:val="ItronBasic5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41">
    <w:name w:val="ItronBasic14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TableGrid51">
    <w:name w:val="Table Grid51"/>
    <w:basedOn w:val="TableNormal"/>
    <w:next w:val="TableGrid"/>
    <w:uiPriority w:val="59"/>
    <w:rsid w:val="009957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tronBasic61">
    <w:name w:val="ItronBasic6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customStyle="1" w:styleId="ItronBasic151">
    <w:name w:val="ItronBasic151"/>
    <w:basedOn w:val="TableNormal"/>
    <w:uiPriority w:val="99"/>
    <w:qFormat/>
    <w:rsid w:val="00995752"/>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numbering" w:customStyle="1" w:styleId="CnAListBullets1">
    <w:name w:val="CnAListBullets1"/>
    <w:uiPriority w:val="99"/>
    <w:rsid w:val="00995752"/>
    <w:pPr>
      <w:numPr>
        <w:numId w:val="14"/>
      </w:numPr>
    </w:pPr>
  </w:style>
  <w:style w:type="numbering" w:customStyle="1" w:styleId="EquationNumbering1">
    <w:name w:val="EquationNumbering1"/>
    <w:uiPriority w:val="99"/>
    <w:rsid w:val="00995752"/>
    <w:pPr>
      <w:numPr>
        <w:numId w:val="15"/>
      </w:numPr>
    </w:pPr>
  </w:style>
  <w:style w:type="numbering" w:customStyle="1" w:styleId="EquationList1">
    <w:name w:val="Equation List1"/>
    <w:uiPriority w:val="99"/>
    <w:rsid w:val="00995752"/>
    <w:pPr>
      <w:numPr>
        <w:numId w:val="16"/>
      </w:numPr>
    </w:pPr>
  </w:style>
  <w:style w:type="table" w:customStyle="1" w:styleId="LightList-Accent11">
    <w:name w:val="Light List - Accent 11"/>
    <w:basedOn w:val="TableNormal"/>
    <w:next w:val="LightList-Accent1"/>
    <w:uiPriority w:val="61"/>
    <w:rsid w:val="00995752"/>
    <w:rPr>
      <w:rFonts w:ascii="Calibri" w:eastAsia="Calibri" w:hAnsi="Calibr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TableNew1">
    <w:name w:val="Table New1"/>
    <w:basedOn w:val="TableTheme"/>
    <w:uiPriority w:val="99"/>
    <w:rsid w:val="00995752"/>
    <w:pPr>
      <w:widowControl w:val="0"/>
      <w:jc w:val="center"/>
    </w:pPr>
    <w:rPr>
      <w:rFonts w:ascii="Univers LT Std 55" w:hAnsi="Univers LT Std 55"/>
      <w:lang w:eastAsia="zh-CN"/>
    </w:rPr>
    <w:tblPr>
      <w:tblStyleRowBandSize w:val="1"/>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29" w:type="dxa"/>
        <w:left w:w="115" w:type="dxa"/>
        <w:bottom w:w="29" w:type="dxa"/>
        <w:right w:w="115" w:type="dxa"/>
      </w:tblCellMar>
    </w:tblPr>
    <w:trPr>
      <w:jc w:val="center"/>
    </w:trPr>
    <w:tcPr>
      <w:vAlign w:val="center"/>
    </w:tcPr>
    <w:tblStylePr w:type="firstRow">
      <w:pPr>
        <w:keepNext/>
        <w:keepLines/>
        <w:wordWrap/>
        <w:jc w:val="center"/>
      </w:pPr>
      <w:rPr>
        <w:rFonts w:ascii="Franklin Gothic Medium Cond" w:hAnsi="Franklin Gothic Medium Cond"/>
        <w:b/>
        <w:color w:val="FFFFFF" w:themeColor="background1"/>
        <w:sz w:val="20"/>
      </w:rPr>
      <w:tblPr/>
      <w:trPr>
        <w:tblHeader/>
      </w:trPr>
      <w:tcPr>
        <w:shd w:val="clear" w:color="auto" w:fill="1B315E"/>
      </w:tcPr>
    </w:tblStylePr>
    <w:tblStylePr w:type="firstCol">
      <w:pPr>
        <w:wordWrap/>
        <w:jc w:val="left"/>
      </w:pPr>
    </w:tblStylePr>
    <w:tblStylePr w:type="band1Horz">
      <w:pPr>
        <w:keepNext w:val="0"/>
        <w:keepLines/>
        <w:wordWrap/>
      </w:pPr>
      <w:rPr>
        <w:rFonts w:ascii="Franklin Gothic Medium Cond" w:hAnsi="Franklin Gothic Medium Cond"/>
        <w:b w:val="0"/>
        <w:color w:val="474746"/>
        <w:sz w:val="20"/>
      </w:rPr>
      <w:tblPr/>
      <w:tcPr>
        <w:shd w:val="clear" w:color="auto" w:fill="F6C067"/>
      </w:tcPr>
    </w:tblStylePr>
    <w:tblStylePr w:type="band2Horz">
      <w:rPr>
        <w:rFonts w:ascii="Franklin Gothic Medium Cond" w:hAnsi="Franklin Gothic Medium Cond"/>
        <w:b w:val="0"/>
        <w:color w:val="0D0D0D" w:themeColor="text1" w:themeTint="F2"/>
        <w:sz w:val="20"/>
      </w:rPr>
      <w:tblPr/>
      <w:tcPr>
        <w:shd w:val="clear" w:color="auto" w:fill="EA8E3F"/>
      </w:tcPr>
    </w:tblStylePr>
  </w:style>
  <w:style w:type="table" w:customStyle="1" w:styleId="TableTheme1">
    <w:name w:val="Table Theme1"/>
    <w:basedOn w:val="TableNormal"/>
    <w:next w:val="TableTheme"/>
    <w:uiPriority w:val="99"/>
    <w:semiHidden/>
    <w:unhideWhenUsed/>
    <w:rsid w:val="00995752"/>
    <w:pPr>
      <w:spacing w:before="240"/>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ustom1">
    <w:name w:val="Table Custom1"/>
    <w:basedOn w:val="TableNormal"/>
    <w:uiPriority w:val="99"/>
    <w:rsid w:val="00995752"/>
    <w:rPr>
      <w:rFonts w:asciiTheme="minorHAnsi" w:eastAsiaTheme="minorEastAsia" w:hAnsiTheme="minorHAnsi" w:cstheme="minorBidi"/>
      <w:szCs w:val="24"/>
    </w:rPr>
    <w:tblPr>
      <w:tblStyleRowBandSize w:val="1"/>
      <w:tblStyleColBandSize w:val="1"/>
      <w:tblBorders>
        <w:top w:val="single" w:sz="12" w:space="0" w:color="005596"/>
        <w:bottom w:val="single" w:sz="12" w:space="0" w:color="005596"/>
        <w:insideH w:val="single" w:sz="4" w:space="0" w:color="B8CCE4" w:themeColor="accent1" w:themeTint="66"/>
        <w:insideV w:val="single" w:sz="4" w:space="0" w:color="B8CCE4" w:themeColor="accent1" w:themeTint="66"/>
      </w:tblBorders>
      <w:tblCellMar>
        <w:top w:w="43" w:type="dxa"/>
        <w:left w:w="115" w:type="dxa"/>
        <w:bottom w:w="43" w:type="dxa"/>
        <w:right w:w="115" w:type="dxa"/>
      </w:tblCellMar>
    </w:tblPr>
    <w:tcPr>
      <w:shd w:val="clear" w:color="auto" w:fill="auto"/>
    </w:tcPr>
    <w:tblStylePr w:type="firstRow">
      <w:rPr>
        <w:rFonts w:ascii="Arial" w:hAnsi="Arial"/>
        <w:b/>
        <w:color w:val="FFFFFF" w:themeColor="background1"/>
        <w:sz w:val="20"/>
      </w:rPr>
      <w:tblPr/>
      <w:tcPr>
        <w:shd w:val="clear" w:color="auto" w:fill="005596"/>
      </w:tcPr>
    </w:tblStylePr>
    <w:tblStylePr w:type="lastRow">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il"/>
          <w:insideV w:val="single" w:sz="4" w:space="0" w:color="BFBFBF" w:themeColor="background1" w:themeShade="BF"/>
          <w:tl2br w:val="nil"/>
          <w:tr2bl w:val="nil"/>
        </w:tcBorders>
      </w:tcPr>
    </w:tblStylePr>
    <w:tblStylePr w:type="firstCol">
      <w:rPr>
        <w:b w:val="0"/>
      </w:rPr>
      <w:tblPr/>
      <w:tcPr>
        <w:shd w:val="clear" w:color="auto" w:fill="EDF2F4"/>
      </w:tcPr>
    </w:tblStylePr>
    <w:tblStylePr w:type="lastCol">
      <w:tblPr/>
      <w:tcPr>
        <w:shd w:val="clear" w:color="auto" w:fill="EDF2F4"/>
      </w:tcPr>
    </w:tblStylePr>
    <w:tblStylePr w:type="band1Vert">
      <w:tblPr/>
      <w:tcPr>
        <w:shd w:val="clear" w:color="auto" w:fill="EDF2F4"/>
      </w:tcPr>
    </w:tblStylePr>
    <w:tblStylePr w:type="band1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il"/>
          <w:insideV w:val="single" w:sz="4" w:space="0" w:color="BFBFBF" w:themeColor="background1" w:themeShade="BF"/>
          <w:tl2br w:val="nil"/>
          <w:tr2bl w:val="nil"/>
        </w:tcBorders>
        <w:shd w:val="clear" w:color="auto" w:fill="auto"/>
      </w:tcPr>
    </w:tblStylePr>
    <w:tblStylePr w:type="band2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clear" w:color="auto" w:fill="auto"/>
      </w:tcPr>
    </w:tblStylePr>
  </w:style>
  <w:style w:type="paragraph" w:customStyle="1" w:styleId="paragraph">
    <w:name w:val="paragraph"/>
    <w:basedOn w:val="Normal"/>
    <w:rsid w:val="002E75F8"/>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2E75F8"/>
  </w:style>
  <w:style w:type="table" w:styleId="GridTable4-Accent1">
    <w:name w:val="Grid Table 4 Accent 1"/>
    <w:basedOn w:val="TableNormal"/>
    <w:uiPriority w:val="49"/>
    <w:rsid w:val="002E75F8"/>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5">
    <w:name w:val="Grid Table 4 Accent 5"/>
    <w:basedOn w:val="TableNormal"/>
    <w:uiPriority w:val="49"/>
    <w:rsid w:val="00F516D4"/>
    <w:rPr>
      <w:rFonts w:asciiTheme="minorHAnsi" w:eastAsiaTheme="minorHAnsi" w:hAnsiTheme="minorHAnsi" w:cstheme="minorBidi"/>
      <w:sz w:val="22"/>
      <w:szCs w:val="22"/>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ui-provider">
    <w:name w:val="ui-provider"/>
    <w:basedOn w:val="DefaultParagraphFont"/>
    <w:rsid w:val="00CF0A51"/>
  </w:style>
  <w:style w:type="character" w:styleId="Mention">
    <w:name w:val="Mention"/>
    <w:basedOn w:val="DefaultParagraphFont"/>
    <w:uiPriority w:val="99"/>
    <w:unhideWhenUsed/>
    <w:rsid w:val="0088551D"/>
    <w:rPr>
      <w:color w:val="2B579A"/>
      <w:shd w:val="clear" w:color="auto" w:fill="E1DFDD"/>
    </w:rPr>
  </w:style>
  <w:style w:type="table" w:customStyle="1" w:styleId="GridTable4-Accent51">
    <w:name w:val="Grid Table 4 - Accent 51"/>
    <w:basedOn w:val="TableNormal"/>
    <w:next w:val="GridTable4-Accent5"/>
    <w:uiPriority w:val="49"/>
    <w:rsid w:val="0088551D"/>
    <w:rPr>
      <w:rFonts w:ascii="Calibri" w:eastAsia="Calibri" w:hAnsi="Calibri"/>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2">
    <w:name w:val="Grid Table 4 - Accent 52"/>
    <w:basedOn w:val="TableNormal"/>
    <w:next w:val="GridTable4-Accent5"/>
    <w:uiPriority w:val="49"/>
    <w:rsid w:val="0088551D"/>
    <w:rPr>
      <w:rFonts w:ascii="Calibri" w:eastAsia="Calibri" w:hAnsi="Calibri"/>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sdzsvb">
    <w:name w:val="sdzsvb"/>
    <w:basedOn w:val="DefaultParagraphFont"/>
    <w:rsid w:val="00A21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31447">
      <w:bodyDiv w:val="1"/>
      <w:marLeft w:val="0"/>
      <w:marRight w:val="0"/>
      <w:marTop w:val="0"/>
      <w:marBottom w:val="0"/>
      <w:divBdr>
        <w:top w:val="none" w:sz="0" w:space="0" w:color="auto"/>
        <w:left w:val="none" w:sz="0" w:space="0" w:color="auto"/>
        <w:bottom w:val="none" w:sz="0" w:space="0" w:color="auto"/>
        <w:right w:val="none" w:sz="0" w:space="0" w:color="auto"/>
      </w:divBdr>
    </w:div>
    <w:div w:id="302584780">
      <w:bodyDiv w:val="1"/>
      <w:marLeft w:val="0"/>
      <w:marRight w:val="0"/>
      <w:marTop w:val="0"/>
      <w:marBottom w:val="0"/>
      <w:divBdr>
        <w:top w:val="none" w:sz="0" w:space="0" w:color="auto"/>
        <w:left w:val="none" w:sz="0" w:space="0" w:color="auto"/>
        <w:bottom w:val="none" w:sz="0" w:space="0" w:color="auto"/>
        <w:right w:val="none" w:sz="0" w:space="0" w:color="auto"/>
      </w:divBdr>
    </w:div>
    <w:div w:id="465973968">
      <w:bodyDiv w:val="1"/>
      <w:marLeft w:val="0"/>
      <w:marRight w:val="0"/>
      <w:marTop w:val="0"/>
      <w:marBottom w:val="0"/>
      <w:divBdr>
        <w:top w:val="none" w:sz="0" w:space="0" w:color="auto"/>
        <w:left w:val="none" w:sz="0" w:space="0" w:color="auto"/>
        <w:bottom w:val="none" w:sz="0" w:space="0" w:color="auto"/>
        <w:right w:val="none" w:sz="0" w:space="0" w:color="auto"/>
      </w:divBdr>
      <w:divsChild>
        <w:div w:id="867988792">
          <w:marLeft w:val="547"/>
          <w:marRight w:val="0"/>
          <w:marTop w:val="0"/>
          <w:marBottom w:val="0"/>
          <w:divBdr>
            <w:top w:val="none" w:sz="0" w:space="0" w:color="auto"/>
            <w:left w:val="none" w:sz="0" w:space="0" w:color="auto"/>
            <w:bottom w:val="none" w:sz="0" w:space="0" w:color="auto"/>
            <w:right w:val="none" w:sz="0" w:space="0" w:color="auto"/>
          </w:divBdr>
        </w:div>
      </w:divsChild>
    </w:div>
    <w:div w:id="527261871">
      <w:bodyDiv w:val="1"/>
      <w:marLeft w:val="0"/>
      <w:marRight w:val="0"/>
      <w:marTop w:val="0"/>
      <w:marBottom w:val="0"/>
      <w:divBdr>
        <w:top w:val="none" w:sz="0" w:space="0" w:color="auto"/>
        <w:left w:val="none" w:sz="0" w:space="0" w:color="auto"/>
        <w:bottom w:val="none" w:sz="0" w:space="0" w:color="auto"/>
        <w:right w:val="none" w:sz="0" w:space="0" w:color="auto"/>
      </w:divBdr>
      <w:divsChild>
        <w:div w:id="910234746">
          <w:marLeft w:val="547"/>
          <w:marRight w:val="0"/>
          <w:marTop w:val="0"/>
          <w:marBottom w:val="0"/>
          <w:divBdr>
            <w:top w:val="none" w:sz="0" w:space="0" w:color="auto"/>
            <w:left w:val="none" w:sz="0" w:space="0" w:color="auto"/>
            <w:bottom w:val="none" w:sz="0" w:space="0" w:color="auto"/>
            <w:right w:val="none" w:sz="0" w:space="0" w:color="auto"/>
          </w:divBdr>
        </w:div>
      </w:divsChild>
    </w:div>
    <w:div w:id="586041459">
      <w:bodyDiv w:val="1"/>
      <w:marLeft w:val="0"/>
      <w:marRight w:val="0"/>
      <w:marTop w:val="0"/>
      <w:marBottom w:val="0"/>
      <w:divBdr>
        <w:top w:val="none" w:sz="0" w:space="0" w:color="auto"/>
        <w:left w:val="none" w:sz="0" w:space="0" w:color="auto"/>
        <w:bottom w:val="none" w:sz="0" w:space="0" w:color="auto"/>
        <w:right w:val="none" w:sz="0" w:space="0" w:color="auto"/>
      </w:divBdr>
      <w:divsChild>
        <w:div w:id="1595362981">
          <w:marLeft w:val="547"/>
          <w:marRight w:val="0"/>
          <w:marTop w:val="0"/>
          <w:marBottom w:val="0"/>
          <w:divBdr>
            <w:top w:val="none" w:sz="0" w:space="0" w:color="auto"/>
            <w:left w:val="none" w:sz="0" w:space="0" w:color="auto"/>
            <w:bottom w:val="none" w:sz="0" w:space="0" w:color="auto"/>
            <w:right w:val="none" w:sz="0" w:space="0" w:color="auto"/>
          </w:divBdr>
        </w:div>
      </w:divsChild>
    </w:div>
    <w:div w:id="643588927">
      <w:bodyDiv w:val="1"/>
      <w:marLeft w:val="0"/>
      <w:marRight w:val="0"/>
      <w:marTop w:val="0"/>
      <w:marBottom w:val="0"/>
      <w:divBdr>
        <w:top w:val="none" w:sz="0" w:space="0" w:color="auto"/>
        <w:left w:val="none" w:sz="0" w:space="0" w:color="auto"/>
        <w:bottom w:val="none" w:sz="0" w:space="0" w:color="auto"/>
        <w:right w:val="none" w:sz="0" w:space="0" w:color="auto"/>
      </w:divBdr>
    </w:div>
    <w:div w:id="676346841">
      <w:bodyDiv w:val="1"/>
      <w:marLeft w:val="0"/>
      <w:marRight w:val="0"/>
      <w:marTop w:val="0"/>
      <w:marBottom w:val="0"/>
      <w:divBdr>
        <w:top w:val="none" w:sz="0" w:space="0" w:color="auto"/>
        <w:left w:val="none" w:sz="0" w:space="0" w:color="auto"/>
        <w:bottom w:val="none" w:sz="0" w:space="0" w:color="auto"/>
        <w:right w:val="none" w:sz="0" w:space="0" w:color="auto"/>
      </w:divBdr>
      <w:divsChild>
        <w:div w:id="661859902">
          <w:marLeft w:val="547"/>
          <w:marRight w:val="0"/>
          <w:marTop w:val="0"/>
          <w:marBottom w:val="0"/>
          <w:divBdr>
            <w:top w:val="none" w:sz="0" w:space="0" w:color="auto"/>
            <w:left w:val="none" w:sz="0" w:space="0" w:color="auto"/>
            <w:bottom w:val="none" w:sz="0" w:space="0" w:color="auto"/>
            <w:right w:val="none" w:sz="0" w:space="0" w:color="auto"/>
          </w:divBdr>
        </w:div>
      </w:divsChild>
    </w:div>
    <w:div w:id="822740896">
      <w:bodyDiv w:val="1"/>
      <w:marLeft w:val="0"/>
      <w:marRight w:val="0"/>
      <w:marTop w:val="0"/>
      <w:marBottom w:val="0"/>
      <w:divBdr>
        <w:top w:val="none" w:sz="0" w:space="0" w:color="auto"/>
        <w:left w:val="none" w:sz="0" w:space="0" w:color="auto"/>
        <w:bottom w:val="none" w:sz="0" w:space="0" w:color="auto"/>
        <w:right w:val="none" w:sz="0" w:space="0" w:color="auto"/>
      </w:divBdr>
    </w:div>
    <w:div w:id="882716205">
      <w:bodyDiv w:val="1"/>
      <w:marLeft w:val="0"/>
      <w:marRight w:val="0"/>
      <w:marTop w:val="0"/>
      <w:marBottom w:val="0"/>
      <w:divBdr>
        <w:top w:val="none" w:sz="0" w:space="0" w:color="auto"/>
        <w:left w:val="none" w:sz="0" w:space="0" w:color="auto"/>
        <w:bottom w:val="none" w:sz="0" w:space="0" w:color="auto"/>
        <w:right w:val="none" w:sz="0" w:space="0" w:color="auto"/>
      </w:divBdr>
    </w:div>
    <w:div w:id="981468029">
      <w:bodyDiv w:val="1"/>
      <w:marLeft w:val="0"/>
      <w:marRight w:val="0"/>
      <w:marTop w:val="0"/>
      <w:marBottom w:val="0"/>
      <w:divBdr>
        <w:top w:val="none" w:sz="0" w:space="0" w:color="auto"/>
        <w:left w:val="none" w:sz="0" w:space="0" w:color="auto"/>
        <w:bottom w:val="none" w:sz="0" w:space="0" w:color="auto"/>
        <w:right w:val="none" w:sz="0" w:space="0" w:color="auto"/>
      </w:divBdr>
    </w:div>
    <w:div w:id="1004668810">
      <w:bodyDiv w:val="1"/>
      <w:marLeft w:val="0"/>
      <w:marRight w:val="0"/>
      <w:marTop w:val="0"/>
      <w:marBottom w:val="0"/>
      <w:divBdr>
        <w:top w:val="none" w:sz="0" w:space="0" w:color="auto"/>
        <w:left w:val="none" w:sz="0" w:space="0" w:color="auto"/>
        <w:bottom w:val="none" w:sz="0" w:space="0" w:color="auto"/>
        <w:right w:val="none" w:sz="0" w:space="0" w:color="auto"/>
      </w:divBdr>
      <w:divsChild>
        <w:div w:id="1262762216">
          <w:marLeft w:val="547"/>
          <w:marRight w:val="0"/>
          <w:marTop w:val="0"/>
          <w:marBottom w:val="0"/>
          <w:divBdr>
            <w:top w:val="none" w:sz="0" w:space="0" w:color="auto"/>
            <w:left w:val="none" w:sz="0" w:space="0" w:color="auto"/>
            <w:bottom w:val="none" w:sz="0" w:space="0" w:color="auto"/>
            <w:right w:val="none" w:sz="0" w:space="0" w:color="auto"/>
          </w:divBdr>
        </w:div>
      </w:divsChild>
    </w:div>
    <w:div w:id="1020161636">
      <w:bodyDiv w:val="1"/>
      <w:marLeft w:val="0"/>
      <w:marRight w:val="0"/>
      <w:marTop w:val="0"/>
      <w:marBottom w:val="0"/>
      <w:divBdr>
        <w:top w:val="none" w:sz="0" w:space="0" w:color="auto"/>
        <w:left w:val="none" w:sz="0" w:space="0" w:color="auto"/>
        <w:bottom w:val="none" w:sz="0" w:space="0" w:color="auto"/>
        <w:right w:val="none" w:sz="0" w:space="0" w:color="auto"/>
      </w:divBdr>
    </w:div>
    <w:div w:id="1021592125">
      <w:bodyDiv w:val="1"/>
      <w:marLeft w:val="0"/>
      <w:marRight w:val="0"/>
      <w:marTop w:val="0"/>
      <w:marBottom w:val="0"/>
      <w:divBdr>
        <w:top w:val="none" w:sz="0" w:space="0" w:color="auto"/>
        <w:left w:val="none" w:sz="0" w:space="0" w:color="auto"/>
        <w:bottom w:val="none" w:sz="0" w:space="0" w:color="auto"/>
        <w:right w:val="none" w:sz="0" w:space="0" w:color="auto"/>
      </w:divBdr>
    </w:div>
    <w:div w:id="1100418012">
      <w:bodyDiv w:val="1"/>
      <w:marLeft w:val="0"/>
      <w:marRight w:val="0"/>
      <w:marTop w:val="0"/>
      <w:marBottom w:val="0"/>
      <w:divBdr>
        <w:top w:val="none" w:sz="0" w:space="0" w:color="auto"/>
        <w:left w:val="none" w:sz="0" w:space="0" w:color="auto"/>
        <w:bottom w:val="none" w:sz="0" w:space="0" w:color="auto"/>
        <w:right w:val="none" w:sz="0" w:space="0" w:color="auto"/>
      </w:divBdr>
    </w:div>
    <w:div w:id="1158572164">
      <w:bodyDiv w:val="1"/>
      <w:marLeft w:val="0"/>
      <w:marRight w:val="0"/>
      <w:marTop w:val="0"/>
      <w:marBottom w:val="0"/>
      <w:divBdr>
        <w:top w:val="none" w:sz="0" w:space="0" w:color="auto"/>
        <w:left w:val="none" w:sz="0" w:space="0" w:color="auto"/>
        <w:bottom w:val="none" w:sz="0" w:space="0" w:color="auto"/>
        <w:right w:val="none" w:sz="0" w:space="0" w:color="auto"/>
      </w:divBdr>
    </w:div>
    <w:div w:id="1412855120">
      <w:bodyDiv w:val="1"/>
      <w:marLeft w:val="0"/>
      <w:marRight w:val="0"/>
      <w:marTop w:val="0"/>
      <w:marBottom w:val="0"/>
      <w:divBdr>
        <w:top w:val="none" w:sz="0" w:space="0" w:color="auto"/>
        <w:left w:val="none" w:sz="0" w:space="0" w:color="auto"/>
        <w:bottom w:val="none" w:sz="0" w:space="0" w:color="auto"/>
        <w:right w:val="none" w:sz="0" w:space="0" w:color="auto"/>
      </w:divBdr>
    </w:div>
    <w:div w:id="1466125294">
      <w:bodyDiv w:val="1"/>
      <w:marLeft w:val="0"/>
      <w:marRight w:val="0"/>
      <w:marTop w:val="0"/>
      <w:marBottom w:val="0"/>
      <w:divBdr>
        <w:top w:val="none" w:sz="0" w:space="0" w:color="auto"/>
        <w:left w:val="none" w:sz="0" w:space="0" w:color="auto"/>
        <w:bottom w:val="none" w:sz="0" w:space="0" w:color="auto"/>
        <w:right w:val="none" w:sz="0" w:space="0" w:color="auto"/>
      </w:divBdr>
    </w:div>
    <w:div w:id="1639140842">
      <w:bodyDiv w:val="1"/>
      <w:marLeft w:val="0"/>
      <w:marRight w:val="0"/>
      <w:marTop w:val="0"/>
      <w:marBottom w:val="0"/>
      <w:divBdr>
        <w:top w:val="none" w:sz="0" w:space="0" w:color="auto"/>
        <w:left w:val="none" w:sz="0" w:space="0" w:color="auto"/>
        <w:bottom w:val="none" w:sz="0" w:space="0" w:color="auto"/>
        <w:right w:val="none" w:sz="0" w:space="0" w:color="auto"/>
      </w:divBdr>
      <w:divsChild>
        <w:div w:id="858545191">
          <w:marLeft w:val="547"/>
          <w:marRight w:val="0"/>
          <w:marTop w:val="0"/>
          <w:marBottom w:val="0"/>
          <w:divBdr>
            <w:top w:val="none" w:sz="0" w:space="0" w:color="auto"/>
            <w:left w:val="none" w:sz="0" w:space="0" w:color="auto"/>
            <w:bottom w:val="none" w:sz="0" w:space="0" w:color="auto"/>
            <w:right w:val="none" w:sz="0" w:space="0" w:color="auto"/>
          </w:divBdr>
        </w:div>
      </w:divsChild>
    </w:div>
    <w:div w:id="1663898702">
      <w:bodyDiv w:val="1"/>
      <w:marLeft w:val="0"/>
      <w:marRight w:val="0"/>
      <w:marTop w:val="0"/>
      <w:marBottom w:val="0"/>
      <w:divBdr>
        <w:top w:val="none" w:sz="0" w:space="0" w:color="auto"/>
        <w:left w:val="none" w:sz="0" w:space="0" w:color="auto"/>
        <w:bottom w:val="none" w:sz="0" w:space="0" w:color="auto"/>
        <w:right w:val="none" w:sz="0" w:space="0" w:color="auto"/>
      </w:divBdr>
    </w:div>
    <w:div w:id="1682706883">
      <w:bodyDiv w:val="1"/>
      <w:marLeft w:val="0"/>
      <w:marRight w:val="0"/>
      <w:marTop w:val="0"/>
      <w:marBottom w:val="0"/>
      <w:divBdr>
        <w:top w:val="none" w:sz="0" w:space="0" w:color="auto"/>
        <w:left w:val="none" w:sz="0" w:space="0" w:color="auto"/>
        <w:bottom w:val="none" w:sz="0" w:space="0" w:color="auto"/>
        <w:right w:val="none" w:sz="0" w:space="0" w:color="auto"/>
      </w:divBdr>
      <w:divsChild>
        <w:div w:id="763065635">
          <w:marLeft w:val="547"/>
          <w:marRight w:val="0"/>
          <w:marTop w:val="0"/>
          <w:marBottom w:val="0"/>
          <w:divBdr>
            <w:top w:val="none" w:sz="0" w:space="0" w:color="auto"/>
            <w:left w:val="none" w:sz="0" w:space="0" w:color="auto"/>
            <w:bottom w:val="none" w:sz="0" w:space="0" w:color="auto"/>
            <w:right w:val="none" w:sz="0" w:space="0" w:color="auto"/>
          </w:divBdr>
        </w:div>
      </w:divsChild>
    </w:div>
    <w:div w:id="1742022909">
      <w:bodyDiv w:val="1"/>
      <w:marLeft w:val="0"/>
      <w:marRight w:val="0"/>
      <w:marTop w:val="0"/>
      <w:marBottom w:val="0"/>
      <w:divBdr>
        <w:top w:val="none" w:sz="0" w:space="0" w:color="auto"/>
        <w:left w:val="none" w:sz="0" w:space="0" w:color="auto"/>
        <w:bottom w:val="none" w:sz="0" w:space="0" w:color="auto"/>
        <w:right w:val="none" w:sz="0" w:space="0" w:color="auto"/>
      </w:divBdr>
      <w:divsChild>
        <w:div w:id="98844355">
          <w:marLeft w:val="547"/>
          <w:marRight w:val="0"/>
          <w:marTop w:val="0"/>
          <w:marBottom w:val="0"/>
          <w:divBdr>
            <w:top w:val="none" w:sz="0" w:space="0" w:color="auto"/>
            <w:left w:val="none" w:sz="0" w:space="0" w:color="auto"/>
            <w:bottom w:val="none" w:sz="0" w:space="0" w:color="auto"/>
            <w:right w:val="none" w:sz="0" w:space="0" w:color="auto"/>
          </w:divBdr>
        </w:div>
      </w:divsChild>
    </w:div>
    <w:div w:id="1866138313">
      <w:bodyDiv w:val="1"/>
      <w:marLeft w:val="0"/>
      <w:marRight w:val="0"/>
      <w:marTop w:val="0"/>
      <w:marBottom w:val="0"/>
      <w:divBdr>
        <w:top w:val="none" w:sz="0" w:space="0" w:color="auto"/>
        <w:left w:val="none" w:sz="0" w:space="0" w:color="auto"/>
        <w:bottom w:val="none" w:sz="0" w:space="0" w:color="auto"/>
        <w:right w:val="none" w:sz="0" w:space="0" w:color="auto"/>
      </w:divBdr>
    </w:div>
    <w:div w:id="1872457047">
      <w:bodyDiv w:val="1"/>
      <w:marLeft w:val="0"/>
      <w:marRight w:val="0"/>
      <w:marTop w:val="0"/>
      <w:marBottom w:val="0"/>
      <w:divBdr>
        <w:top w:val="none" w:sz="0" w:space="0" w:color="auto"/>
        <w:left w:val="none" w:sz="0" w:space="0" w:color="auto"/>
        <w:bottom w:val="none" w:sz="0" w:space="0" w:color="auto"/>
        <w:right w:val="none" w:sz="0" w:space="0" w:color="auto"/>
      </w:divBdr>
    </w:div>
    <w:div w:id="1909999647">
      <w:bodyDiv w:val="1"/>
      <w:marLeft w:val="0"/>
      <w:marRight w:val="0"/>
      <w:marTop w:val="0"/>
      <w:marBottom w:val="0"/>
      <w:divBdr>
        <w:top w:val="none" w:sz="0" w:space="0" w:color="auto"/>
        <w:left w:val="none" w:sz="0" w:space="0" w:color="auto"/>
        <w:bottom w:val="none" w:sz="0" w:space="0" w:color="auto"/>
        <w:right w:val="none" w:sz="0" w:space="0" w:color="auto"/>
      </w:divBdr>
    </w:div>
    <w:div w:id="1935092785">
      <w:bodyDiv w:val="1"/>
      <w:marLeft w:val="0"/>
      <w:marRight w:val="0"/>
      <w:marTop w:val="0"/>
      <w:marBottom w:val="0"/>
      <w:divBdr>
        <w:top w:val="none" w:sz="0" w:space="0" w:color="auto"/>
        <w:left w:val="none" w:sz="0" w:space="0" w:color="auto"/>
        <w:bottom w:val="none" w:sz="0" w:space="0" w:color="auto"/>
        <w:right w:val="none" w:sz="0" w:space="0" w:color="auto"/>
      </w:divBdr>
      <w:divsChild>
        <w:div w:id="1104885570">
          <w:marLeft w:val="547"/>
          <w:marRight w:val="0"/>
          <w:marTop w:val="0"/>
          <w:marBottom w:val="0"/>
          <w:divBdr>
            <w:top w:val="none" w:sz="0" w:space="0" w:color="auto"/>
            <w:left w:val="none" w:sz="0" w:space="0" w:color="auto"/>
            <w:bottom w:val="none" w:sz="0" w:space="0" w:color="auto"/>
            <w:right w:val="none" w:sz="0" w:space="0" w:color="auto"/>
          </w:divBdr>
        </w:div>
      </w:divsChild>
    </w:div>
    <w:div w:id="1968930475">
      <w:bodyDiv w:val="1"/>
      <w:marLeft w:val="0"/>
      <w:marRight w:val="0"/>
      <w:marTop w:val="0"/>
      <w:marBottom w:val="0"/>
      <w:divBdr>
        <w:top w:val="none" w:sz="0" w:space="0" w:color="auto"/>
        <w:left w:val="none" w:sz="0" w:space="0" w:color="auto"/>
        <w:bottom w:val="none" w:sz="0" w:space="0" w:color="auto"/>
        <w:right w:val="none" w:sz="0" w:space="0" w:color="auto"/>
      </w:divBdr>
      <w:divsChild>
        <w:div w:id="58465374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diagramQuickStyle" Target="diagrams/quickStyle2.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diagramColors" Target="diagrams/colors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D314349-7B08-4F9F-BB9B-2C69709BB0BB}" type="doc">
      <dgm:prSet loTypeId="urn:microsoft.com/office/officeart/2005/8/layout/chevron2" loCatId="process" qsTypeId="urn:microsoft.com/office/officeart/2005/8/quickstyle/simple1" qsCatId="simple" csTypeId="urn:microsoft.com/office/officeart/2005/8/colors/accent1_2" csCatId="accent1" phldr="1"/>
      <dgm:spPr/>
      <dgm:t>
        <a:bodyPr/>
        <a:lstStyle/>
        <a:p>
          <a:endParaRPr lang="en-US"/>
        </a:p>
      </dgm:t>
    </dgm:pt>
    <dgm:pt modelId="{D3198961-3142-445F-A8CC-0B57C4D7D82F}">
      <dgm:prSet phldrT="[Text]" custT="1"/>
      <dgm:spPr/>
      <dgm:t>
        <a:bodyPr/>
        <a:lstStyle/>
        <a:p>
          <a:r>
            <a:rPr lang="en-US" sz="700" b="1"/>
            <a:t>Oct.  2022 EEIP Biannual Meeting</a:t>
          </a:r>
        </a:p>
      </dgm:t>
    </dgm:pt>
    <dgm:pt modelId="{492BB24E-60FA-4E77-B46C-F5CC751635BD}" type="parTrans" cxnId="{708819A3-9AF9-4C4B-8362-358BE0DF8316}">
      <dgm:prSet/>
      <dgm:spPr/>
      <dgm:t>
        <a:bodyPr/>
        <a:lstStyle/>
        <a:p>
          <a:endParaRPr lang="en-US" sz="2000"/>
        </a:p>
      </dgm:t>
    </dgm:pt>
    <dgm:pt modelId="{B7664EBB-D137-4343-B6E2-52A703C68257}" type="sibTrans" cxnId="{708819A3-9AF9-4C4B-8362-358BE0DF8316}">
      <dgm:prSet/>
      <dgm:spPr/>
      <dgm:t>
        <a:bodyPr/>
        <a:lstStyle/>
        <a:p>
          <a:endParaRPr lang="en-US" sz="2000"/>
        </a:p>
      </dgm:t>
    </dgm:pt>
    <dgm:pt modelId="{F9C5944E-195B-41F6-8B6C-0A75CA4AE320}">
      <dgm:prSet phldrT="[Text]" custT="1"/>
      <dgm:spPr/>
      <dgm:t>
        <a:bodyPr/>
        <a:lstStyle/>
        <a:p>
          <a:r>
            <a:rPr lang="en-US" sz="900"/>
            <a:t>Stakeholders provided input to potential rulemaking to amend PUC Subst. Rule 25.181 and 25.182.</a:t>
          </a:r>
        </a:p>
      </dgm:t>
    </dgm:pt>
    <dgm:pt modelId="{E45CA3BA-5ACD-4768-BAE9-BAA22B1FC44C}" type="parTrans" cxnId="{3433F710-0454-481A-BA32-5C2F3F0F583B}">
      <dgm:prSet/>
      <dgm:spPr/>
      <dgm:t>
        <a:bodyPr/>
        <a:lstStyle/>
        <a:p>
          <a:endParaRPr lang="en-US" sz="2000"/>
        </a:p>
      </dgm:t>
    </dgm:pt>
    <dgm:pt modelId="{B79990F7-FC39-468F-BA03-07F571850E2E}" type="sibTrans" cxnId="{3433F710-0454-481A-BA32-5C2F3F0F583B}">
      <dgm:prSet/>
      <dgm:spPr/>
      <dgm:t>
        <a:bodyPr/>
        <a:lstStyle/>
        <a:p>
          <a:endParaRPr lang="en-US" sz="2000"/>
        </a:p>
      </dgm:t>
    </dgm:pt>
    <dgm:pt modelId="{99BBE932-24E6-49EB-A7A3-D49CA2895D35}">
      <dgm:prSet phldrT="[Text]" custT="1"/>
      <dgm:spPr/>
      <dgm:t>
        <a:bodyPr/>
        <a:lstStyle/>
        <a:p>
          <a:r>
            <a:rPr lang="en-US" sz="900"/>
            <a:t>Oncor and the Sierra Club both presented generating discussion topics.</a:t>
          </a:r>
        </a:p>
      </dgm:t>
    </dgm:pt>
    <dgm:pt modelId="{0C7C44D3-F0E1-4B1F-9307-6A18149A3CD4}" type="parTrans" cxnId="{D48E9457-812F-49BC-A5B1-AB76690AA489}">
      <dgm:prSet/>
      <dgm:spPr/>
      <dgm:t>
        <a:bodyPr/>
        <a:lstStyle/>
        <a:p>
          <a:endParaRPr lang="en-US" sz="2000"/>
        </a:p>
      </dgm:t>
    </dgm:pt>
    <dgm:pt modelId="{1A45A50D-E73B-4F76-8F14-1621C76CDF50}" type="sibTrans" cxnId="{D48E9457-812F-49BC-A5B1-AB76690AA489}">
      <dgm:prSet/>
      <dgm:spPr/>
      <dgm:t>
        <a:bodyPr/>
        <a:lstStyle/>
        <a:p>
          <a:endParaRPr lang="en-US" sz="2000"/>
        </a:p>
      </dgm:t>
    </dgm:pt>
    <dgm:pt modelId="{B82C4E3B-D936-4A3E-8422-3AA8EDA838EB}">
      <dgm:prSet phldrT="[Text]" custT="1"/>
      <dgm:spPr/>
      <dgm:t>
        <a:bodyPr/>
        <a:lstStyle/>
        <a:p>
          <a:r>
            <a:rPr lang="en-US" sz="700" b="1"/>
            <a:t>Nov.  2022 Stakeholder Survey</a:t>
          </a:r>
        </a:p>
      </dgm:t>
    </dgm:pt>
    <dgm:pt modelId="{02055E15-3E00-449D-A0EB-79CE4F6A6A02}" type="parTrans" cxnId="{C243FB8B-3211-4DEE-926D-C53BA419D485}">
      <dgm:prSet/>
      <dgm:spPr/>
      <dgm:t>
        <a:bodyPr/>
        <a:lstStyle/>
        <a:p>
          <a:endParaRPr lang="en-US" sz="2000"/>
        </a:p>
      </dgm:t>
    </dgm:pt>
    <dgm:pt modelId="{4938FD0D-BE86-4F4E-8FDB-B5EC6A8CCA10}" type="sibTrans" cxnId="{C243FB8B-3211-4DEE-926D-C53BA419D485}">
      <dgm:prSet/>
      <dgm:spPr/>
      <dgm:t>
        <a:bodyPr/>
        <a:lstStyle/>
        <a:p>
          <a:endParaRPr lang="en-US" sz="2000"/>
        </a:p>
      </dgm:t>
    </dgm:pt>
    <dgm:pt modelId="{4A36A278-4519-4A54-83F6-C14219629ADF}">
      <dgm:prSet phldrT="[Text]" custT="1"/>
      <dgm:spPr/>
      <dgm:t>
        <a:bodyPr/>
        <a:lstStyle/>
        <a:p>
          <a:r>
            <a:rPr lang="en-US" sz="900"/>
            <a:t>The survey obtained feedback from stakeholders and prioritized issues to inform working groups.</a:t>
          </a:r>
        </a:p>
      </dgm:t>
    </dgm:pt>
    <dgm:pt modelId="{0722C025-DF37-447B-B23C-F6154AB3C2A1}" type="parTrans" cxnId="{3EB8AB51-26EE-42E6-8139-59E6500515D6}">
      <dgm:prSet/>
      <dgm:spPr/>
      <dgm:t>
        <a:bodyPr/>
        <a:lstStyle/>
        <a:p>
          <a:endParaRPr lang="en-US" sz="2000"/>
        </a:p>
      </dgm:t>
    </dgm:pt>
    <dgm:pt modelId="{DE9996DB-07F9-4723-AB2C-4EFE71D6AA78}" type="sibTrans" cxnId="{3EB8AB51-26EE-42E6-8139-59E6500515D6}">
      <dgm:prSet/>
      <dgm:spPr/>
      <dgm:t>
        <a:bodyPr/>
        <a:lstStyle/>
        <a:p>
          <a:endParaRPr lang="en-US" sz="2000"/>
        </a:p>
      </dgm:t>
    </dgm:pt>
    <dgm:pt modelId="{944EA87E-CFF6-4AD0-9948-89402A93D7F3}">
      <dgm:prSet phldrT="[Text]" custT="1"/>
      <dgm:spPr/>
      <dgm:t>
        <a:bodyPr/>
        <a:lstStyle/>
        <a:p>
          <a:r>
            <a:rPr lang="en-US" sz="700" b="1"/>
            <a:t>Dec. - Jan. 2023 Project No. 38578</a:t>
          </a:r>
        </a:p>
      </dgm:t>
    </dgm:pt>
    <dgm:pt modelId="{AA391F5A-1F94-482E-B7C0-29AD7F096320}" type="parTrans" cxnId="{213CBFAB-1D37-49A4-B703-C7BB3064F0C9}">
      <dgm:prSet/>
      <dgm:spPr/>
      <dgm:t>
        <a:bodyPr/>
        <a:lstStyle/>
        <a:p>
          <a:endParaRPr lang="en-US" sz="2000"/>
        </a:p>
      </dgm:t>
    </dgm:pt>
    <dgm:pt modelId="{4251B456-DBAE-478F-A600-7C6CE329A98B}" type="sibTrans" cxnId="{213CBFAB-1D37-49A4-B703-C7BB3064F0C9}">
      <dgm:prSet/>
      <dgm:spPr/>
      <dgm:t>
        <a:bodyPr/>
        <a:lstStyle/>
        <a:p>
          <a:endParaRPr lang="en-US" sz="2000"/>
        </a:p>
      </dgm:t>
    </dgm:pt>
    <dgm:pt modelId="{B521F245-5DB4-4C3C-BB64-6C1A11C40323}">
      <dgm:prSet phldrT="[Text]" custT="1"/>
      <dgm:spPr/>
      <dgm:t>
        <a:bodyPr/>
        <a:lstStyle/>
        <a:p>
          <a:r>
            <a:rPr lang="en-US" sz="900"/>
            <a:t>Survey analysis and working group recommendations were filed in Project No. 38578 on December 20, 2022.</a:t>
          </a:r>
        </a:p>
      </dgm:t>
    </dgm:pt>
    <dgm:pt modelId="{EE05ED8D-77D5-481B-9A83-896ACA7BE772}" type="parTrans" cxnId="{F98CBB86-0D9D-48B9-880C-0DDDCEB0BE31}">
      <dgm:prSet/>
      <dgm:spPr/>
      <dgm:t>
        <a:bodyPr/>
        <a:lstStyle/>
        <a:p>
          <a:endParaRPr lang="en-US" sz="2000"/>
        </a:p>
      </dgm:t>
    </dgm:pt>
    <dgm:pt modelId="{B84808A9-E9B4-4771-A39B-118A9D062066}" type="sibTrans" cxnId="{F98CBB86-0D9D-48B9-880C-0DDDCEB0BE31}">
      <dgm:prSet/>
      <dgm:spPr/>
      <dgm:t>
        <a:bodyPr/>
        <a:lstStyle/>
        <a:p>
          <a:endParaRPr lang="en-US" sz="2000"/>
        </a:p>
      </dgm:t>
    </dgm:pt>
    <dgm:pt modelId="{0E6949E5-41FD-4D52-9F06-898FF3AFD6BE}">
      <dgm:prSet phldrT="[Text]" custT="1"/>
      <dgm:spPr/>
      <dgm:t>
        <a:bodyPr/>
        <a:lstStyle/>
        <a:p>
          <a:r>
            <a:rPr lang="en-US" sz="900"/>
            <a:t>Based on survey results four working groups were recommended.</a:t>
          </a:r>
        </a:p>
      </dgm:t>
    </dgm:pt>
    <dgm:pt modelId="{390BA594-1B32-4712-A7EB-3CA289AC086E}" type="parTrans" cxnId="{95EE69FC-00E2-496B-ACB6-C2792C3A1B2D}">
      <dgm:prSet/>
      <dgm:spPr/>
      <dgm:t>
        <a:bodyPr/>
        <a:lstStyle/>
        <a:p>
          <a:endParaRPr lang="en-US" sz="2000"/>
        </a:p>
      </dgm:t>
    </dgm:pt>
    <dgm:pt modelId="{1DA0BECD-95AF-417B-81E4-F09CD09250D8}" type="sibTrans" cxnId="{95EE69FC-00E2-496B-ACB6-C2792C3A1B2D}">
      <dgm:prSet/>
      <dgm:spPr/>
      <dgm:t>
        <a:bodyPr/>
        <a:lstStyle/>
        <a:p>
          <a:endParaRPr lang="en-US" sz="2000"/>
        </a:p>
      </dgm:t>
    </dgm:pt>
    <dgm:pt modelId="{20BAC777-BD41-4C96-B0A6-7FBBEF86C869}">
      <dgm:prSet phldrT="[Text]" custT="1"/>
      <dgm:spPr/>
      <dgm:t>
        <a:bodyPr/>
        <a:lstStyle/>
        <a:p>
          <a:r>
            <a:rPr lang="en-US" sz="900"/>
            <a:t>Commission staff distributed an invitation to complete a working group interest form via EEIP listserv.</a:t>
          </a:r>
        </a:p>
      </dgm:t>
    </dgm:pt>
    <dgm:pt modelId="{3215FCEF-2117-4D80-89B7-818E823E20B8}" type="parTrans" cxnId="{1F2598D0-948C-41AF-B8D2-0823C9CB885A}">
      <dgm:prSet/>
      <dgm:spPr/>
      <dgm:t>
        <a:bodyPr/>
        <a:lstStyle/>
        <a:p>
          <a:endParaRPr lang="en-US" sz="2000"/>
        </a:p>
      </dgm:t>
    </dgm:pt>
    <dgm:pt modelId="{24F13F26-8278-4EFA-AAC9-F6C6D69498FC}" type="sibTrans" cxnId="{1F2598D0-948C-41AF-B8D2-0823C9CB885A}">
      <dgm:prSet/>
      <dgm:spPr/>
      <dgm:t>
        <a:bodyPr/>
        <a:lstStyle/>
        <a:p>
          <a:endParaRPr lang="en-US" sz="2000"/>
        </a:p>
      </dgm:t>
    </dgm:pt>
    <dgm:pt modelId="{B625966A-1E4C-4B6E-83AF-5091B16D506D}">
      <dgm:prSet phldrT="[Text]" custT="1"/>
      <dgm:spPr/>
      <dgm:t>
        <a:bodyPr/>
        <a:lstStyle/>
        <a:p>
          <a:r>
            <a:rPr lang="en-US" sz="700" b="1"/>
            <a:t>Jan. - Mar. 2023 Working Groups</a:t>
          </a:r>
        </a:p>
      </dgm:t>
    </dgm:pt>
    <dgm:pt modelId="{AB292352-4BF8-4F3F-AE14-C08DBDF4D974}" type="parTrans" cxnId="{12A7AEA0-FE24-4017-950E-0EFB2B23FCBA}">
      <dgm:prSet/>
      <dgm:spPr/>
      <dgm:t>
        <a:bodyPr/>
        <a:lstStyle/>
        <a:p>
          <a:endParaRPr lang="en-US" sz="2000"/>
        </a:p>
      </dgm:t>
    </dgm:pt>
    <dgm:pt modelId="{8945F5FC-71B1-4DF2-880B-B00325A81610}" type="sibTrans" cxnId="{12A7AEA0-FE24-4017-950E-0EFB2B23FCBA}">
      <dgm:prSet/>
      <dgm:spPr/>
      <dgm:t>
        <a:bodyPr/>
        <a:lstStyle/>
        <a:p>
          <a:endParaRPr lang="en-US" sz="2000"/>
        </a:p>
      </dgm:t>
    </dgm:pt>
    <dgm:pt modelId="{D14B568E-BA26-4D9D-B340-5744A2690E72}">
      <dgm:prSet phldrT="[Text]" custT="1"/>
      <dgm:spPr/>
      <dgm:t>
        <a:bodyPr/>
        <a:lstStyle/>
        <a:p>
          <a:r>
            <a:rPr lang="en-US" sz="900"/>
            <a:t>44 unique companies and organizations completed the survey representing the stakeholder groups.</a:t>
          </a:r>
        </a:p>
      </dgm:t>
    </dgm:pt>
    <dgm:pt modelId="{DA589057-A330-420F-96D2-13A7B7917458}" type="parTrans" cxnId="{7DA49CCF-52CA-4DE9-940B-876E90D1AA66}">
      <dgm:prSet/>
      <dgm:spPr/>
      <dgm:t>
        <a:bodyPr/>
        <a:lstStyle/>
        <a:p>
          <a:endParaRPr lang="en-US" sz="2000"/>
        </a:p>
      </dgm:t>
    </dgm:pt>
    <dgm:pt modelId="{31845AE0-D8FC-429F-8BB0-8EA3685F62E5}" type="sibTrans" cxnId="{7DA49CCF-52CA-4DE9-940B-876E90D1AA66}">
      <dgm:prSet/>
      <dgm:spPr/>
      <dgm:t>
        <a:bodyPr/>
        <a:lstStyle/>
        <a:p>
          <a:endParaRPr lang="en-US" sz="2000"/>
        </a:p>
      </dgm:t>
    </dgm:pt>
    <dgm:pt modelId="{2B4BEE54-0616-41C2-B837-D6732890FB40}">
      <dgm:prSet phldrT="[Text]" custT="1"/>
      <dgm:spPr/>
      <dgm:t>
        <a:bodyPr/>
        <a:lstStyle/>
        <a:p>
          <a:r>
            <a:rPr lang="en-US" sz="900"/>
            <a:t>Stakeholders assigned to participate in one working group; option of listening to all sessions live or via recordings.</a:t>
          </a:r>
        </a:p>
      </dgm:t>
    </dgm:pt>
    <dgm:pt modelId="{E1D0316F-44CE-4CD5-888B-7D8F7D86BBEE}" type="parTrans" cxnId="{DDDFEEC1-F719-423F-96D6-0784E4113110}">
      <dgm:prSet/>
      <dgm:spPr/>
      <dgm:t>
        <a:bodyPr/>
        <a:lstStyle/>
        <a:p>
          <a:endParaRPr lang="en-US" sz="2000"/>
        </a:p>
      </dgm:t>
    </dgm:pt>
    <dgm:pt modelId="{485B16A4-0144-409C-AB90-DAC1B1242464}" type="sibTrans" cxnId="{DDDFEEC1-F719-423F-96D6-0784E4113110}">
      <dgm:prSet/>
      <dgm:spPr/>
      <dgm:t>
        <a:bodyPr/>
        <a:lstStyle/>
        <a:p>
          <a:endParaRPr lang="en-US" sz="2000"/>
        </a:p>
      </dgm:t>
    </dgm:pt>
    <dgm:pt modelId="{63F2D99D-B71F-4817-8C43-FFFBB57B4D33}">
      <dgm:prSet phldrT="[Text]" custT="1"/>
      <dgm:spPr/>
      <dgm:t>
        <a:bodyPr/>
        <a:lstStyle/>
        <a:p>
          <a:r>
            <a:rPr lang="en-US" sz="900"/>
            <a:t>Details from the workshop were carefully documented and summary recaps shared at the beginning of each subsequent session.</a:t>
          </a:r>
        </a:p>
      </dgm:t>
    </dgm:pt>
    <dgm:pt modelId="{4626E8D3-850A-423B-81EE-5805332A3A55}" type="parTrans" cxnId="{232DFFFC-ED51-4A56-8502-AF61E0F41574}">
      <dgm:prSet/>
      <dgm:spPr/>
      <dgm:t>
        <a:bodyPr/>
        <a:lstStyle/>
        <a:p>
          <a:endParaRPr lang="en-US" sz="2000"/>
        </a:p>
      </dgm:t>
    </dgm:pt>
    <dgm:pt modelId="{FCE29B55-F2A8-44D5-A25A-E233C9D3CF2B}" type="sibTrans" cxnId="{232DFFFC-ED51-4A56-8502-AF61E0F41574}">
      <dgm:prSet/>
      <dgm:spPr/>
      <dgm:t>
        <a:bodyPr/>
        <a:lstStyle/>
        <a:p>
          <a:endParaRPr lang="en-US" sz="2000"/>
        </a:p>
      </dgm:t>
    </dgm:pt>
    <dgm:pt modelId="{D45B0D44-3E59-4D3F-ACF8-6518ABD466F4}">
      <dgm:prSet phldrT="[Text]" custT="1"/>
      <dgm:spPr/>
      <dgm:t>
        <a:bodyPr/>
        <a:lstStyle/>
        <a:p>
          <a:r>
            <a:rPr lang="en-US" sz="900"/>
            <a:t>Topics were assigned a high - low priorty based on the legislative/rule change requirements.</a:t>
          </a:r>
        </a:p>
      </dgm:t>
    </dgm:pt>
    <dgm:pt modelId="{793F0FCC-7014-4CEA-8496-B741770B42CE}" type="parTrans" cxnId="{2FC5A1D6-6C9D-43F5-AB8B-C8A54F76B240}">
      <dgm:prSet/>
      <dgm:spPr/>
      <dgm:t>
        <a:bodyPr/>
        <a:lstStyle/>
        <a:p>
          <a:endParaRPr lang="en-US" sz="2000"/>
        </a:p>
      </dgm:t>
    </dgm:pt>
    <dgm:pt modelId="{353EB000-FB9D-42D5-89CB-F058D1FDBC1F}" type="sibTrans" cxnId="{2FC5A1D6-6C9D-43F5-AB8B-C8A54F76B240}">
      <dgm:prSet/>
      <dgm:spPr/>
      <dgm:t>
        <a:bodyPr/>
        <a:lstStyle/>
        <a:p>
          <a:endParaRPr lang="en-US" sz="2000"/>
        </a:p>
      </dgm:t>
    </dgm:pt>
    <dgm:pt modelId="{CED32E41-A00B-4B99-939F-9E54BB612DCC}">
      <dgm:prSet phldrT="[Text]" custT="1"/>
      <dgm:spPr/>
      <dgm:t>
        <a:bodyPr/>
        <a:lstStyle/>
        <a:p>
          <a:r>
            <a:rPr lang="en-US" sz="900"/>
            <a:t>PUCT tasked the EM&amp;V contractor to develop and implement a stakeholder survey building on the EEIP discussions.</a:t>
          </a:r>
          <a:endParaRPr lang="en-US" sz="700" b="1"/>
        </a:p>
      </dgm:t>
    </dgm:pt>
    <dgm:pt modelId="{E39109BD-83A2-4610-BC5F-526F34303F72}" type="parTrans" cxnId="{D3B0FD31-FEBD-417B-86AF-4571E861B6BD}">
      <dgm:prSet/>
      <dgm:spPr/>
      <dgm:t>
        <a:bodyPr/>
        <a:lstStyle/>
        <a:p>
          <a:endParaRPr lang="en-US"/>
        </a:p>
      </dgm:t>
    </dgm:pt>
    <dgm:pt modelId="{B26CD39E-8C71-44E6-BD17-C00EBDAECD30}" type="sibTrans" cxnId="{D3B0FD31-FEBD-417B-86AF-4571E861B6BD}">
      <dgm:prSet/>
      <dgm:spPr/>
      <dgm:t>
        <a:bodyPr/>
        <a:lstStyle/>
        <a:p>
          <a:endParaRPr lang="en-US"/>
        </a:p>
      </dgm:t>
    </dgm:pt>
    <dgm:pt modelId="{42BB4A03-0F7B-409A-A72E-5364E59D71DD}">
      <dgm:prSet phldrT="[Text]" custT="1"/>
      <dgm:spPr/>
      <dgm:t>
        <a:bodyPr/>
        <a:lstStyle/>
        <a:p>
          <a:r>
            <a:rPr lang="en-US" sz="900"/>
            <a:t>Working Group progress update presented to EEIP March 28</a:t>
          </a:r>
        </a:p>
      </dgm:t>
    </dgm:pt>
    <dgm:pt modelId="{F3066711-2E0F-4A4A-973B-B6C2469BD6E3}" type="parTrans" cxnId="{166674FD-451D-43E0-BCD0-61964CBC0DA8}">
      <dgm:prSet/>
      <dgm:spPr/>
      <dgm:t>
        <a:bodyPr/>
        <a:lstStyle/>
        <a:p>
          <a:endParaRPr lang="en-US"/>
        </a:p>
      </dgm:t>
    </dgm:pt>
    <dgm:pt modelId="{2D6A76F9-F73D-43AE-92C9-1C16E791EAA4}" type="sibTrans" cxnId="{166674FD-451D-43E0-BCD0-61964CBC0DA8}">
      <dgm:prSet/>
      <dgm:spPr/>
      <dgm:t>
        <a:bodyPr/>
        <a:lstStyle/>
        <a:p>
          <a:endParaRPr lang="en-US"/>
        </a:p>
      </dgm:t>
    </dgm:pt>
    <dgm:pt modelId="{AADAF677-C7BA-4002-BD0E-1FF18B4EA3C3}" type="pres">
      <dgm:prSet presAssocID="{5D314349-7B08-4F9F-BB9B-2C69709BB0BB}" presName="linearFlow" presStyleCnt="0">
        <dgm:presLayoutVars>
          <dgm:dir/>
          <dgm:animLvl val="lvl"/>
          <dgm:resizeHandles val="exact"/>
        </dgm:presLayoutVars>
      </dgm:prSet>
      <dgm:spPr/>
    </dgm:pt>
    <dgm:pt modelId="{1258B564-5731-4249-825F-593830409069}" type="pres">
      <dgm:prSet presAssocID="{D3198961-3142-445F-A8CC-0B57C4D7D82F}" presName="composite" presStyleCnt="0"/>
      <dgm:spPr/>
    </dgm:pt>
    <dgm:pt modelId="{9978F598-1E35-47DF-83C0-4D91DAAC41B3}" type="pres">
      <dgm:prSet presAssocID="{D3198961-3142-445F-A8CC-0B57C4D7D82F}" presName="parentText" presStyleLbl="alignNode1" presStyleIdx="0" presStyleCnt="4">
        <dgm:presLayoutVars>
          <dgm:chMax val="1"/>
          <dgm:bulletEnabled val="1"/>
        </dgm:presLayoutVars>
      </dgm:prSet>
      <dgm:spPr/>
    </dgm:pt>
    <dgm:pt modelId="{32EB9B7B-AE78-440D-A149-27D660CBFB2C}" type="pres">
      <dgm:prSet presAssocID="{D3198961-3142-445F-A8CC-0B57C4D7D82F}" presName="descendantText" presStyleLbl="alignAcc1" presStyleIdx="0" presStyleCnt="4">
        <dgm:presLayoutVars>
          <dgm:bulletEnabled val="1"/>
        </dgm:presLayoutVars>
      </dgm:prSet>
      <dgm:spPr/>
    </dgm:pt>
    <dgm:pt modelId="{21ED5C66-4504-4423-9B3B-0DC2E5E0455A}" type="pres">
      <dgm:prSet presAssocID="{B7664EBB-D137-4343-B6E2-52A703C68257}" presName="sp" presStyleCnt="0"/>
      <dgm:spPr/>
    </dgm:pt>
    <dgm:pt modelId="{3CCFE662-408B-4E61-BCF5-810EE210994D}" type="pres">
      <dgm:prSet presAssocID="{B82C4E3B-D936-4A3E-8422-3AA8EDA838EB}" presName="composite" presStyleCnt="0"/>
      <dgm:spPr/>
    </dgm:pt>
    <dgm:pt modelId="{B6140FE9-7873-404E-8DA3-E0C12A42B90E}" type="pres">
      <dgm:prSet presAssocID="{B82C4E3B-D936-4A3E-8422-3AA8EDA838EB}" presName="parentText" presStyleLbl="alignNode1" presStyleIdx="1" presStyleCnt="4">
        <dgm:presLayoutVars>
          <dgm:chMax val="1"/>
          <dgm:bulletEnabled val="1"/>
        </dgm:presLayoutVars>
      </dgm:prSet>
      <dgm:spPr/>
    </dgm:pt>
    <dgm:pt modelId="{3BEE6AAB-F494-40F4-8E7E-2E3140EA37F2}" type="pres">
      <dgm:prSet presAssocID="{B82C4E3B-D936-4A3E-8422-3AA8EDA838EB}" presName="descendantText" presStyleLbl="alignAcc1" presStyleIdx="1" presStyleCnt="4">
        <dgm:presLayoutVars>
          <dgm:bulletEnabled val="1"/>
        </dgm:presLayoutVars>
      </dgm:prSet>
      <dgm:spPr/>
    </dgm:pt>
    <dgm:pt modelId="{30289E2B-A391-4E45-8233-BC6CE277F14A}" type="pres">
      <dgm:prSet presAssocID="{4938FD0D-BE86-4F4E-8FDB-B5EC6A8CCA10}" presName="sp" presStyleCnt="0"/>
      <dgm:spPr/>
    </dgm:pt>
    <dgm:pt modelId="{BA15BA8F-D188-4E1D-A456-8DE35E83F702}" type="pres">
      <dgm:prSet presAssocID="{944EA87E-CFF6-4AD0-9948-89402A93D7F3}" presName="composite" presStyleCnt="0"/>
      <dgm:spPr/>
    </dgm:pt>
    <dgm:pt modelId="{50BDF69C-87CC-4389-8BDB-384863B4B2B9}" type="pres">
      <dgm:prSet presAssocID="{944EA87E-CFF6-4AD0-9948-89402A93D7F3}" presName="parentText" presStyleLbl="alignNode1" presStyleIdx="2" presStyleCnt="4">
        <dgm:presLayoutVars>
          <dgm:chMax val="1"/>
          <dgm:bulletEnabled val="1"/>
        </dgm:presLayoutVars>
      </dgm:prSet>
      <dgm:spPr/>
    </dgm:pt>
    <dgm:pt modelId="{4313E1EE-1856-4592-BE43-7B53507B4940}" type="pres">
      <dgm:prSet presAssocID="{944EA87E-CFF6-4AD0-9948-89402A93D7F3}" presName="descendantText" presStyleLbl="alignAcc1" presStyleIdx="2" presStyleCnt="4">
        <dgm:presLayoutVars>
          <dgm:bulletEnabled val="1"/>
        </dgm:presLayoutVars>
      </dgm:prSet>
      <dgm:spPr/>
    </dgm:pt>
    <dgm:pt modelId="{62CCE3F0-2A30-4F0D-930C-6DEE7D754328}" type="pres">
      <dgm:prSet presAssocID="{4251B456-DBAE-478F-A600-7C6CE329A98B}" presName="sp" presStyleCnt="0"/>
      <dgm:spPr/>
    </dgm:pt>
    <dgm:pt modelId="{3593AF8F-2426-4C8E-ADC6-95CBD66BAFC9}" type="pres">
      <dgm:prSet presAssocID="{B625966A-1E4C-4B6E-83AF-5091B16D506D}" presName="composite" presStyleCnt="0"/>
      <dgm:spPr/>
    </dgm:pt>
    <dgm:pt modelId="{CF0DF499-3025-4C20-A699-48E23919FC67}" type="pres">
      <dgm:prSet presAssocID="{B625966A-1E4C-4B6E-83AF-5091B16D506D}" presName="parentText" presStyleLbl="alignNode1" presStyleIdx="3" presStyleCnt="4">
        <dgm:presLayoutVars>
          <dgm:chMax val="1"/>
          <dgm:bulletEnabled val="1"/>
        </dgm:presLayoutVars>
      </dgm:prSet>
      <dgm:spPr/>
    </dgm:pt>
    <dgm:pt modelId="{59F3F04A-C0C4-4CD5-82C1-80B8F36D0C37}" type="pres">
      <dgm:prSet presAssocID="{B625966A-1E4C-4B6E-83AF-5091B16D506D}" presName="descendantText" presStyleLbl="alignAcc1" presStyleIdx="3" presStyleCnt="4" custScaleY="136965" custLinFactNeighborX="14">
        <dgm:presLayoutVars>
          <dgm:bulletEnabled val="1"/>
        </dgm:presLayoutVars>
      </dgm:prSet>
      <dgm:spPr/>
    </dgm:pt>
  </dgm:ptLst>
  <dgm:cxnLst>
    <dgm:cxn modelId="{098C120A-BDE3-449B-B5EB-40AACAAB97F6}" type="presOf" srcId="{42BB4A03-0F7B-409A-A72E-5364E59D71DD}" destId="{59F3F04A-C0C4-4CD5-82C1-80B8F36D0C37}" srcOrd="0" destOrd="3" presId="urn:microsoft.com/office/officeart/2005/8/layout/chevron2"/>
    <dgm:cxn modelId="{3433F710-0454-481A-BA32-5C2F3F0F583B}" srcId="{D3198961-3142-445F-A8CC-0B57C4D7D82F}" destId="{F9C5944E-195B-41F6-8B6C-0A75CA4AE320}" srcOrd="0" destOrd="0" parTransId="{E45CA3BA-5ACD-4768-BAE9-BAA22B1FC44C}" sibTransId="{B79990F7-FC39-468F-BA03-07F571850E2E}"/>
    <dgm:cxn modelId="{D3408617-E828-4E9B-8A5E-473E72EDE8F8}" type="presOf" srcId="{2B4BEE54-0616-41C2-B837-D6732890FB40}" destId="{59F3F04A-C0C4-4CD5-82C1-80B8F36D0C37}" srcOrd="0" destOrd="0" presId="urn:microsoft.com/office/officeart/2005/8/layout/chevron2"/>
    <dgm:cxn modelId="{3735D925-8411-43B0-81A4-F3ADBBB6BCB3}" type="presOf" srcId="{99BBE932-24E6-49EB-A7A3-D49CA2895D35}" destId="{32EB9B7B-AE78-440D-A149-27D660CBFB2C}" srcOrd="0" destOrd="1" presId="urn:microsoft.com/office/officeart/2005/8/layout/chevron2"/>
    <dgm:cxn modelId="{7372662C-82EE-460B-9043-A000A9FB35B7}" type="presOf" srcId="{B625966A-1E4C-4B6E-83AF-5091B16D506D}" destId="{CF0DF499-3025-4C20-A699-48E23919FC67}" srcOrd="0" destOrd="0" presId="urn:microsoft.com/office/officeart/2005/8/layout/chevron2"/>
    <dgm:cxn modelId="{D3B0FD31-FEBD-417B-86AF-4571E861B6BD}" srcId="{B82C4E3B-D936-4A3E-8422-3AA8EDA838EB}" destId="{CED32E41-A00B-4B99-939F-9E54BB612DCC}" srcOrd="0" destOrd="0" parTransId="{E39109BD-83A2-4610-BC5F-526F34303F72}" sibTransId="{B26CD39E-8C71-44E6-BD17-C00EBDAECD30}"/>
    <dgm:cxn modelId="{9C8C6142-BACC-4A26-BE31-3A8645A5FAB0}" type="presOf" srcId="{B82C4E3B-D936-4A3E-8422-3AA8EDA838EB}" destId="{B6140FE9-7873-404E-8DA3-E0C12A42B90E}" srcOrd="0" destOrd="0" presId="urn:microsoft.com/office/officeart/2005/8/layout/chevron2"/>
    <dgm:cxn modelId="{B37E8E42-2131-4BDB-AA17-D0388835782E}" type="presOf" srcId="{D45B0D44-3E59-4D3F-ACF8-6518ABD466F4}" destId="{59F3F04A-C0C4-4CD5-82C1-80B8F36D0C37}" srcOrd="0" destOrd="2" presId="urn:microsoft.com/office/officeart/2005/8/layout/chevron2"/>
    <dgm:cxn modelId="{3A4ED06A-CD23-49E1-9DE0-C46A9248023B}" type="presOf" srcId="{5D314349-7B08-4F9F-BB9B-2C69709BB0BB}" destId="{AADAF677-C7BA-4002-BD0E-1FF18B4EA3C3}" srcOrd="0" destOrd="0" presId="urn:microsoft.com/office/officeart/2005/8/layout/chevron2"/>
    <dgm:cxn modelId="{02D2244E-948E-4ABB-9BA9-CAB47BE0CF97}" type="presOf" srcId="{CED32E41-A00B-4B99-939F-9E54BB612DCC}" destId="{3BEE6AAB-F494-40F4-8E7E-2E3140EA37F2}" srcOrd="0" destOrd="0" presId="urn:microsoft.com/office/officeart/2005/8/layout/chevron2"/>
    <dgm:cxn modelId="{3EB8AB51-26EE-42E6-8139-59E6500515D6}" srcId="{B82C4E3B-D936-4A3E-8422-3AA8EDA838EB}" destId="{4A36A278-4519-4A54-83F6-C14219629ADF}" srcOrd="1" destOrd="0" parTransId="{0722C025-DF37-447B-B23C-F6154AB3C2A1}" sibTransId="{DE9996DB-07F9-4723-AB2C-4EFE71D6AA78}"/>
    <dgm:cxn modelId="{C7DF0D53-E25E-4E06-8E2E-C9CCD2A12884}" type="presOf" srcId="{F9C5944E-195B-41F6-8B6C-0A75CA4AE320}" destId="{32EB9B7B-AE78-440D-A149-27D660CBFB2C}" srcOrd="0" destOrd="0" presId="urn:microsoft.com/office/officeart/2005/8/layout/chevron2"/>
    <dgm:cxn modelId="{D48E9457-812F-49BC-A5B1-AB76690AA489}" srcId="{D3198961-3142-445F-A8CC-0B57C4D7D82F}" destId="{99BBE932-24E6-49EB-A7A3-D49CA2895D35}" srcOrd="1" destOrd="0" parTransId="{0C7C44D3-F0E1-4B1F-9307-6A18149A3CD4}" sibTransId="{1A45A50D-E73B-4F76-8F14-1621C76CDF50}"/>
    <dgm:cxn modelId="{F98CBB86-0D9D-48B9-880C-0DDDCEB0BE31}" srcId="{944EA87E-CFF6-4AD0-9948-89402A93D7F3}" destId="{B521F245-5DB4-4C3C-BB64-6C1A11C40323}" srcOrd="0" destOrd="0" parTransId="{EE05ED8D-77D5-481B-9A83-896ACA7BE772}" sibTransId="{B84808A9-E9B4-4771-A39B-118A9D062066}"/>
    <dgm:cxn modelId="{C243FB8B-3211-4DEE-926D-C53BA419D485}" srcId="{5D314349-7B08-4F9F-BB9B-2C69709BB0BB}" destId="{B82C4E3B-D936-4A3E-8422-3AA8EDA838EB}" srcOrd="1" destOrd="0" parTransId="{02055E15-3E00-449D-A0EB-79CE4F6A6A02}" sibTransId="{4938FD0D-BE86-4F4E-8FDB-B5EC6A8CCA10}"/>
    <dgm:cxn modelId="{346A2295-DA31-4DE5-875E-47073060A058}" type="presOf" srcId="{D14B568E-BA26-4D9D-B340-5744A2690E72}" destId="{4313E1EE-1856-4592-BE43-7B53507B4940}" srcOrd="0" destOrd="2" presId="urn:microsoft.com/office/officeart/2005/8/layout/chevron2"/>
    <dgm:cxn modelId="{6135589C-4F83-43F3-A029-36D6F9283142}" type="presOf" srcId="{944EA87E-CFF6-4AD0-9948-89402A93D7F3}" destId="{50BDF69C-87CC-4389-8BDB-384863B4B2B9}" srcOrd="0" destOrd="0" presId="urn:microsoft.com/office/officeart/2005/8/layout/chevron2"/>
    <dgm:cxn modelId="{4D93FD9C-6432-4C70-8173-84F72A838C80}" type="presOf" srcId="{63F2D99D-B71F-4817-8C43-FFFBB57B4D33}" destId="{59F3F04A-C0C4-4CD5-82C1-80B8F36D0C37}" srcOrd="0" destOrd="1" presId="urn:microsoft.com/office/officeart/2005/8/layout/chevron2"/>
    <dgm:cxn modelId="{F215499D-2AE2-4CCB-9CEB-283F5D6D381C}" type="presOf" srcId="{B521F245-5DB4-4C3C-BB64-6C1A11C40323}" destId="{4313E1EE-1856-4592-BE43-7B53507B4940}" srcOrd="0" destOrd="0" presId="urn:microsoft.com/office/officeart/2005/8/layout/chevron2"/>
    <dgm:cxn modelId="{12A7AEA0-FE24-4017-950E-0EFB2B23FCBA}" srcId="{5D314349-7B08-4F9F-BB9B-2C69709BB0BB}" destId="{B625966A-1E4C-4B6E-83AF-5091B16D506D}" srcOrd="3" destOrd="0" parTransId="{AB292352-4BF8-4F3F-AE14-C08DBDF4D974}" sibTransId="{8945F5FC-71B1-4DF2-880B-B00325A81610}"/>
    <dgm:cxn modelId="{708819A3-9AF9-4C4B-8362-358BE0DF8316}" srcId="{5D314349-7B08-4F9F-BB9B-2C69709BB0BB}" destId="{D3198961-3142-445F-A8CC-0B57C4D7D82F}" srcOrd="0" destOrd="0" parTransId="{492BB24E-60FA-4E77-B46C-F5CC751635BD}" sibTransId="{B7664EBB-D137-4343-B6E2-52A703C68257}"/>
    <dgm:cxn modelId="{C1275FA4-1F3D-4235-B488-060BB97E5B69}" type="presOf" srcId="{0E6949E5-41FD-4D52-9F06-898FF3AFD6BE}" destId="{3BEE6AAB-F494-40F4-8E7E-2E3140EA37F2}" srcOrd="0" destOrd="2" presId="urn:microsoft.com/office/officeart/2005/8/layout/chevron2"/>
    <dgm:cxn modelId="{D33259A8-9015-4845-BFDA-6499A1FE8E70}" type="presOf" srcId="{20BAC777-BD41-4C96-B0A6-7FBBEF86C869}" destId="{4313E1EE-1856-4592-BE43-7B53507B4940}" srcOrd="0" destOrd="1" presId="urn:microsoft.com/office/officeart/2005/8/layout/chevron2"/>
    <dgm:cxn modelId="{213CBFAB-1D37-49A4-B703-C7BB3064F0C9}" srcId="{5D314349-7B08-4F9F-BB9B-2C69709BB0BB}" destId="{944EA87E-CFF6-4AD0-9948-89402A93D7F3}" srcOrd="2" destOrd="0" parTransId="{AA391F5A-1F94-482E-B7C0-29AD7F096320}" sibTransId="{4251B456-DBAE-478F-A600-7C6CE329A98B}"/>
    <dgm:cxn modelId="{5E7777B7-F134-4691-AED9-FD2DCF1CB1BE}" type="presOf" srcId="{4A36A278-4519-4A54-83F6-C14219629ADF}" destId="{3BEE6AAB-F494-40F4-8E7E-2E3140EA37F2}" srcOrd="0" destOrd="1" presId="urn:microsoft.com/office/officeart/2005/8/layout/chevron2"/>
    <dgm:cxn modelId="{DDDFEEC1-F719-423F-96D6-0784E4113110}" srcId="{B625966A-1E4C-4B6E-83AF-5091B16D506D}" destId="{2B4BEE54-0616-41C2-B837-D6732890FB40}" srcOrd="0" destOrd="0" parTransId="{E1D0316F-44CE-4CD5-888B-7D8F7D86BBEE}" sibTransId="{485B16A4-0144-409C-AB90-DAC1B1242464}"/>
    <dgm:cxn modelId="{7DA49CCF-52CA-4DE9-940B-876E90D1AA66}" srcId="{944EA87E-CFF6-4AD0-9948-89402A93D7F3}" destId="{D14B568E-BA26-4D9D-B340-5744A2690E72}" srcOrd="2" destOrd="0" parTransId="{DA589057-A330-420F-96D2-13A7B7917458}" sibTransId="{31845AE0-D8FC-429F-8BB0-8EA3685F62E5}"/>
    <dgm:cxn modelId="{1F2598D0-948C-41AF-B8D2-0823C9CB885A}" srcId="{944EA87E-CFF6-4AD0-9948-89402A93D7F3}" destId="{20BAC777-BD41-4C96-B0A6-7FBBEF86C869}" srcOrd="1" destOrd="0" parTransId="{3215FCEF-2117-4D80-89B7-818E823E20B8}" sibTransId="{24F13F26-8278-4EFA-AAC9-F6C6D69498FC}"/>
    <dgm:cxn modelId="{2FC5A1D6-6C9D-43F5-AB8B-C8A54F76B240}" srcId="{B625966A-1E4C-4B6E-83AF-5091B16D506D}" destId="{D45B0D44-3E59-4D3F-ACF8-6518ABD466F4}" srcOrd="2" destOrd="0" parTransId="{793F0FCC-7014-4CEA-8496-B741770B42CE}" sibTransId="{353EB000-FB9D-42D5-89CB-F058D1FDBC1F}"/>
    <dgm:cxn modelId="{D59FB8DD-E531-4E63-BBAF-7D6DE7DFFBE3}" type="presOf" srcId="{D3198961-3142-445F-A8CC-0B57C4D7D82F}" destId="{9978F598-1E35-47DF-83C0-4D91DAAC41B3}" srcOrd="0" destOrd="0" presId="urn:microsoft.com/office/officeart/2005/8/layout/chevron2"/>
    <dgm:cxn modelId="{95EE69FC-00E2-496B-ACB6-C2792C3A1B2D}" srcId="{B82C4E3B-D936-4A3E-8422-3AA8EDA838EB}" destId="{0E6949E5-41FD-4D52-9F06-898FF3AFD6BE}" srcOrd="2" destOrd="0" parTransId="{390BA594-1B32-4712-A7EB-3CA289AC086E}" sibTransId="{1DA0BECD-95AF-417B-81E4-F09CD09250D8}"/>
    <dgm:cxn modelId="{232DFFFC-ED51-4A56-8502-AF61E0F41574}" srcId="{B625966A-1E4C-4B6E-83AF-5091B16D506D}" destId="{63F2D99D-B71F-4817-8C43-FFFBB57B4D33}" srcOrd="1" destOrd="0" parTransId="{4626E8D3-850A-423B-81EE-5805332A3A55}" sibTransId="{FCE29B55-F2A8-44D5-A25A-E233C9D3CF2B}"/>
    <dgm:cxn modelId="{166674FD-451D-43E0-BCD0-61964CBC0DA8}" srcId="{B625966A-1E4C-4B6E-83AF-5091B16D506D}" destId="{42BB4A03-0F7B-409A-A72E-5364E59D71DD}" srcOrd="3" destOrd="0" parTransId="{F3066711-2E0F-4A4A-973B-B6C2469BD6E3}" sibTransId="{2D6A76F9-F73D-43AE-92C9-1C16E791EAA4}"/>
    <dgm:cxn modelId="{6FA4A6FD-BC37-4259-A6E5-9A04081A9E27}" type="presParOf" srcId="{AADAF677-C7BA-4002-BD0E-1FF18B4EA3C3}" destId="{1258B564-5731-4249-825F-593830409069}" srcOrd="0" destOrd="0" presId="urn:microsoft.com/office/officeart/2005/8/layout/chevron2"/>
    <dgm:cxn modelId="{3E6F78D6-61FA-496F-99BF-5531399C5F82}" type="presParOf" srcId="{1258B564-5731-4249-825F-593830409069}" destId="{9978F598-1E35-47DF-83C0-4D91DAAC41B3}" srcOrd="0" destOrd="0" presId="urn:microsoft.com/office/officeart/2005/8/layout/chevron2"/>
    <dgm:cxn modelId="{28BCED2A-C18F-4115-9ECC-487D8A6FE203}" type="presParOf" srcId="{1258B564-5731-4249-825F-593830409069}" destId="{32EB9B7B-AE78-440D-A149-27D660CBFB2C}" srcOrd="1" destOrd="0" presId="urn:microsoft.com/office/officeart/2005/8/layout/chevron2"/>
    <dgm:cxn modelId="{E1752E47-BFFE-4566-9801-AA5092B4ADB1}" type="presParOf" srcId="{AADAF677-C7BA-4002-BD0E-1FF18B4EA3C3}" destId="{21ED5C66-4504-4423-9B3B-0DC2E5E0455A}" srcOrd="1" destOrd="0" presId="urn:microsoft.com/office/officeart/2005/8/layout/chevron2"/>
    <dgm:cxn modelId="{60B41CEC-96C7-4550-9549-10E4B67F4025}" type="presParOf" srcId="{AADAF677-C7BA-4002-BD0E-1FF18B4EA3C3}" destId="{3CCFE662-408B-4E61-BCF5-810EE210994D}" srcOrd="2" destOrd="0" presId="urn:microsoft.com/office/officeart/2005/8/layout/chevron2"/>
    <dgm:cxn modelId="{2D881377-C13A-4D56-BA85-C194B479C2AC}" type="presParOf" srcId="{3CCFE662-408B-4E61-BCF5-810EE210994D}" destId="{B6140FE9-7873-404E-8DA3-E0C12A42B90E}" srcOrd="0" destOrd="0" presId="urn:microsoft.com/office/officeart/2005/8/layout/chevron2"/>
    <dgm:cxn modelId="{FB66EF22-83F4-483F-BE41-79DFCE4D42CF}" type="presParOf" srcId="{3CCFE662-408B-4E61-BCF5-810EE210994D}" destId="{3BEE6AAB-F494-40F4-8E7E-2E3140EA37F2}" srcOrd="1" destOrd="0" presId="urn:microsoft.com/office/officeart/2005/8/layout/chevron2"/>
    <dgm:cxn modelId="{830C1780-F6A4-4A58-991F-A8A24CC84D68}" type="presParOf" srcId="{AADAF677-C7BA-4002-BD0E-1FF18B4EA3C3}" destId="{30289E2B-A391-4E45-8233-BC6CE277F14A}" srcOrd="3" destOrd="0" presId="urn:microsoft.com/office/officeart/2005/8/layout/chevron2"/>
    <dgm:cxn modelId="{55272E12-AC54-49B6-AE4E-C1036B34128F}" type="presParOf" srcId="{AADAF677-C7BA-4002-BD0E-1FF18B4EA3C3}" destId="{BA15BA8F-D188-4E1D-A456-8DE35E83F702}" srcOrd="4" destOrd="0" presId="urn:microsoft.com/office/officeart/2005/8/layout/chevron2"/>
    <dgm:cxn modelId="{6E85410A-4ECB-426B-9A30-A40DC4CF6DAB}" type="presParOf" srcId="{BA15BA8F-D188-4E1D-A456-8DE35E83F702}" destId="{50BDF69C-87CC-4389-8BDB-384863B4B2B9}" srcOrd="0" destOrd="0" presId="urn:microsoft.com/office/officeart/2005/8/layout/chevron2"/>
    <dgm:cxn modelId="{DAF9DA2D-2FC2-457C-9D45-52C98F6442F4}" type="presParOf" srcId="{BA15BA8F-D188-4E1D-A456-8DE35E83F702}" destId="{4313E1EE-1856-4592-BE43-7B53507B4940}" srcOrd="1" destOrd="0" presId="urn:microsoft.com/office/officeart/2005/8/layout/chevron2"/>
    <dgm:cxn modelId="{71ECC6A2-D55D-4172-855E-E4DF3D026FEB}" type="presParOf" srcId="{AADAF677-C7BA-4002-BD0E-1FF18B4EA3C3}" destId="{62CCE3F0-2A30-4F0D-930C-6DEE7D754328}" srcOrd="5" destOrd="0" presId="urn:microsoft.com/office/officeart/2005/8/layout/chevron2"/>
    <dgm:cxn modelId="{48BE50E2-039D-4C6E-8A66-641C9E8B113E}" type="presParOf" srcId="{AADAF677-C7BA-4002-BD0E-1FF18B4EA3C3}" destId="{3593AF8F-2426-4C8E-ADC6-95CBD66BAFC9}" srcOrd="6" destOrd="0" presId="urn:microsoft.com/office/officeart/2005/8/layout/chevron2"/>
    <dgm:cxn modelId="{5AAD8CED-DF24-4A42-8EC3-5D0562C5B2C2}" type="presParOf" srcId="{3593AF8F-2426-4C8E-ADC6-95CBD66BAFC9}" destId="{CF0DF499-3025-4C20-A699-48E23919FC67}" srcOrd="0" destOrd="0" presId="urn:microsoft.com/office/officeart/2005/8/layout/chevron2"/>
    <dgm:cxn modelId="{4E74890F-85E8-466D-A9E6-30EFEC51B8D7}" type="presParOf" srcId="{3593AF8F-2426-4C8E-ADC6-95CBD66BAFC9}" destId="{59F3F04A-C0C4-4CD5-82C1-80B8F36D0C37}" srcOrd="1" destOrd="0" presId="urn:microsoft.com/office/officeart/2005/8/layout/chevron2"/>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ECD5994-DEE5-4713-82BD-B9B888BB8227}"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US"/>
        </a:p>
      </dgm:t>
    </dgm:pt>
    <dgm:pt modelId="{F330A72F-8CD8-44AC-81AB-89EEB3CA525D}">
      <dgm:prSet phldrT="[Text]"/>
      <dgm:spPr>
        <a:solidFill>
          <a:srgbClr val="FFFF00"/>
        </a:solidFill>
        <a:ln>
          <a:solidFill>
            <a:srgbClr val="FFFF00"/>
          </a:solidFill>
        </a:ln>
      </dgm:spPr>
      <dgm:t>
        <a:bodyPr/>
        <a:lstStyle/>
        <a:p>
          <a:r>
            <a:rPr lang="en-US">
              <a:solidFill>
                <a:srgbClr val="002060"/>
              </a:solidFill>
            </a:rPr>
            <a:t>High</a:t>
          </a:r>
          <a:r>
            <a:rPr lang="en-US"/>
            <a:t> </a:t>
          </a:r>
          <a:r>
            <a:rPr lang="en-US">
              <a:solidFill>
                <a:srgbClr val="002060"/>
              </a:solidFill>
            </a:rPr>
            <a:t>Priority</a:t>
          </a:r>
        </a:p>
      </dgm:t>
    </dgm:pt>
    <dgm:pt modelId="{D8342136-0527-43D2-A50A-4479C27C7D27}" type="parTrans" cxnId="{C621336B-CE59-4F3D-A8E6-B4288EEF7109}">
      <dgm:prSet/>
      <dgm:spPr/>
      <dgm:t>
        <a:bodyPr/>
        <a:lstStyle/>
        <a:p>
          <a:endParaRPr lang="en-US"/>
        </a:p>
      </dgm:t>
    </dgm:pt>
    <dgm:pt modelId="{AC63462A-559A-4E07-B053-F368BA82F180}" type="sibTrans" cxnId="{C621336B-CE59-4F3D-A8E6-B4288EEF7109}">
      <dgm:prSet/>
      <dgm:spPr/>
      <dgm:t>
        <a:bodyPr/>
        <a:lstStyle/>
        <a:p>
          <a:endParaRPr lang="en-US"/>
        </a:p>
      </dgm:t>
    </dgm:pt>
    <dgm:pt modelId="{B86BBB6F-8144-4483-A5C8-A5549DE1B85D}">
      <dgm:prSet phldrT="[Text]" custT="1"/>
      <dgm:spPr/>
      <dgm:t>
        <a:bodyPr/>
        <a:lstStyle/>
        <a:p>
          <a:r>
            <a:rPr lang="en-US" sz="1200"/>
            <a:t>Peak kW and kWh Goals</a:t>
          </a:r>
        </a:p>
      </dgm:t>
    </dgm:pt>
    <dgm:pt modelId="{EC3AFFA6-64C9-4779-ABD2-76EBA29722CC}" type="parTrans" cxnId="{C5DAA30D-5A63-4866-9AAF-B736D060C7FC}">
      <dgm:prSet/>
      <dgm:spPr/>
      <dgm:t>
        <a:bodyPr/>
        <a:lstStyle/>
        <a:p>
          <a:endParaRPr lang="en-US"/>
        </a:p>
      </dgm:t>
    </dgm:pt>
    <dgm:pt modelId="{60FD27B5-5D44-40FF-AEFD-CD3349E90F03}" type="sibTrans" cxnId="{C5DAA30D-5A63-4866-9AAF-B736D060C7FC}">
      <dgm:prSet/>
      <dgm:spPr/>
      <dgm:t>
        <a:bodyPr/>
        <a:lstStyle/>
        <a:p>
          <a:endParaRPr lang="en-US"/>
        </a:p>
      </dgm:t>
    </dgm:pt>
    <dgm:pt modelId="{A18AED11-213C-4291-9DFF-8062398FF59A}">
      <dgm:prSet phldrT="[Text]"/>
      <dgm:spPr>
        <a:solidFill>
          <a:schemeClr val="accent6"/>
        </a:solidFill>
        <a:ln>
          <a:solidFill>
            <a:schemeClr val="accent6"/>
          </a:solidFill>
        </a:ln>
      </dgm:spPr>
      <dgm:t>
        <a:bodyPr/>
        <a:lstStyle/>
        <a:p>
          <a:r>
            <a:rPr lang="en-US"/>
            <a:t>Medium Priority</a:t>
          </a:r>
        </a:p>
      </dgm:t>
    </dgm:pt>
    <dgm:pt modelId="{EAC2686A-C3B7-4A03-ADBE-D9BDB89E2437}" type="parTrans" cxnId="{B9A20E06-A908-4FD4-801A-051048D6A87A}">
      <dgm:prSet/>
      <dgm:spPr/>
      <dgm:t>
        <a:bodyPr/>
        <a:lstStyle/>
        <a:p>
          <a:endParaRPr lang="en-US"/>
        </a:p>
      </dgm:t>
    </dgm:pt>
    <dgm:pt modelId="{3F65FABA-BAA4-409A-8A6E-B667F961FF2F}" type="sibTrans" cxnId="{B9A20E06-A908-4FD4-801A-051048D6A87A}">
      <dgm:prSet/>
      <dgm:spPr/>
      <dgm:t>
        <a:bodyPr/>
        <a:lstStyle/>
        <a:p>
          <a:endParaRPr lang="en-US"/>
        </a:p>
      </dgm:t>
    </dgm:pt>
    <dgm:pt modelId="{8BE4B6DB-D24C-4A2F-B5EA-2514B27BEBA9}">
      <dgm:prSet phldrT="[Text]" custT="1"/>
      <dgm:spPr/>
      <dgm:t>
        <a:bodyPr/>
        <a:lstStyle/>
        <a:p>
          <a:r>
            <a:rPr lang="en-US" sz="1200"/>
            <a:t>Geotargeting</a:t>
          </a:r>
        </a:p>
      </dgm:t>
    </dgm:pt>
    <dgm:pt modelId="{3A5AAAAC-8A85-4BA6-A779-484151DB334F}" type="parTrans" cxnId="{4220E5BC-F321-434C-8F05-632AEBDB5596}">
      <dgm:prSet/>
      <dgm:spPr/>
      <dgm:t>
        <a:bodyPr/>
        <a:lstStyle/>
        <a:p>
          <a:endParaRPr lang="en-US"/>
        </a:p>
      </dgm:t>
    </dgm:pt>
    <dgm:pt modelId="{B18ED7A2-D296-4AD3-8663-2ED6EDDB981C}" type="sibTrans" cxnId="{4220E5BC-F321-434C-8F05-632AEBDB5596}">
      <dgm:prSet/>
      <dgm:spPr/>
      <dgm:t>
        <a:bodyPr/>
        <a:lstStyle/>
        <a:p>
          <a:endParaRPr lang="en-US"/>
        </a:p>
      </dgm:t>
    </dgm:pt>
    <dgm:pt modelId="{6904F8CC-7273-4C4C-B5C0-6EE3CFEB46D8}">
      <dgm:prSet phldrT="[Text]" custT="1"/>
      <dgm:spPr/>
      <dgm:t>
        <a:bodyPr/>
        <a:lstStyle/>
        <a:p>
          <a:r>
            <a:rPr lang="en-US" sz="1200"/>
            <a:t>Identification of Underserved Segements</a:t>
          </a:r>
        </a:p>
      </dgm:t>
    </dgm:pt>
    <dgm:pt modelId="{24F09A07-58C9-4BA5-AF12-C5539421DF4C}" type="parTrans" cxnId="{BF3A3402-A77C-4237-B968-1C83323A9C3E}">
      <dgm:prSet/>
      <dgm:spPr/>
      <dgm:t>
        <a:bodyPr/>
        <a:lstStyle/>
        <a:p>
          <a:endParaRPr lang="en-US"/>
        </a:p>
      </dgm:t>
    </dgm:pt>
    <dgm:pt modelId="{610FA1AA-6650-46A7-B9DA-873C57885C35}" type="sibTrans" cxnId="{BF3A3402-A77C-4237-B968-1C83323A9C3E}">
      <dgm:prSet/>
      <dgm:spPr/>
      <dgm:t>
        <a:bodyPr/>
        <a:lstStyle/>
        <a:p>
          <a:endParaRPr lang="en-US"/>
        </a:p>
      </dgm:t>
    </dgm:pt>
    <dgm:pt modelId="{611E0721-9829-478E-A0BB-BFAF9688D71A}">
      <dgm:prSet phldrT="[Text]"/>
      <dgm:spPr>
        <a:solidFill>
          <a:schemeClr val="tx2"/>
        </a:solidFill>
        <a:ln>
          <a:solidFill>
            <a:schemeClr val="tx2"/>
          </a:solidFill>
        </a:ln>
      </dgm:spPr>
      <dgm:t>
        <a:bodyPr/>
        <a:lstStyle/>
        <a:p>
          <a:r>
            <a:rPr lang="en-US"/>
            <a:t>Low Priority</a:t>
          </a:r>
        </a:p>
      </dgm:t>
    </dgm:pt>
    <dgm:pt modelId="{AFABF1C8-4155-4C35-939B-EEF4EA5CE932}" type="parTrans" cxnId="{858EAA5A-BB48-404F-8429-13EF4F98E72E}">
      <dgm:prSet/>
      <dgm:spPr/>
      <dgm:t>
        <a:bodyPr/>
        <a:lstStyle/>
        <a:p>
          <a:endParaRPr lang="en-US"/>
        </a:p>
      </dgm:t>
    </dgm:pt>
    <dgm:pt modelId="{C0951696-B637-47C9-ACFD-A57CB466E3B9}" type="sibTrans" cxnId="{858EAA5A-BB48-404F-8429-13EF4F98E72E}">
      <dgm:prSet/>
      <dgm:spPr/>
      <dgm:t>
        <a:bodyPr/>
        <a:lstStyle/>
        <a:p>
          <a:endParaRPr lang="en-US"/>
        </a:p>
      </dgm:t>
    </dgm:pt>
    <dgm:pt modelId="{03F5EDC0-1FC8-4A9D-9818-6749842B5EB2}">
      <dgm:prSet phldrT="[Text]" custT="1"/>
      <dgm:spPr/>
      <dgm:t>
        <a:bodyPr/>
        <a:lstStyle/>
        <a:p>
          <a:r>
            <a:rPr lang="en-US" sz="1200"/>
            <a:t>Stakeholder Engagement</a:t>
          </a:r>
        </a:p>
      </dgm:t>
    </dgm:pt>
    <dgm:pt modelId="{02869B33-D67E-4A4E-BEE1-4843688F24E2}" type="parTrans" cxnId="{45154F37-E379-4A1A-9390-F1DB329897CD}">
      <dgm:prSet/>
      <dgm:spPr/>
      <dgm:t>
        <a:bodyPr/>
        <a:lstStyle/>
        <a:p>
          <a:endParaRPr lang="en-US"/>
        </a:p>
      </dgm:t>
    </dgm:pt>
    <dgm:pt modelId="{30AF8B49-262B-4885-9E66-8666F499C9E4}" type="sibTrans" cxnId="{45154F37-E379-4A1A-9390-F1DB329897CD}">
      <dgm:prSet/>
      <dgm:spPr/>
      <dgm:t>
        <a:bodyPr/>
        <a:lstStyle/>
        <a:p>
          <a:endParaRPr lang="en-US"/>
        </a:p>
      </dgm:t>
    </dgm:pt>
    <dgm:pt modelId="{32AA3052-FC3A-4DFA-A94C-FC2443C39A71}">
      <dgm:prSet phldrT="[Text]" custT="1"/>
      <dgm:spPr/>
      <dgm:t>
        <a:bodyPr/>
        <a:lstStyle/>
        <a:p>
          <a:r>
            <a:rPr lang="en-US" sz="1200"/>
            <a:t>EM&amp;V and TRM Cycles</a:t>
          </a:r>
        </a:p>
      </dgm:t>
    </dgm:pt>
    <dgm:pt modelId="{2A8C82BA-93E6-43A7-8776-6176FD3A43D9}" type="parTrans" cxnId="{F07B0FA0-763E-4AA1-9800-B10A3ADCBBA6}">
      <dgm:prSet/>
      <dgm:spPr/>
      <dgm:t>
        <a:bodyPr/>
        <a:lstStyle/>
        <a:p>
          <a:endParaRPr lang="en-US"/>
        </a:p>
      </dgm:t>
    </dgm:pt>
    <dgm:pt modelId="{A744C2E7-7997-490F-8D75-10158E87F5AC}" type="sibTrans" cxnId="{F07B0FA0-763E-4AA1-9800-B10A3ADCBBA6}">
      <dgm:prSet/>
      <dgm:spPr/>
      <dgm:t>
        <a:bodyPr/>
        <a:lstStyle/>
        <a:p>
          <a:endParaRPr lang="en-US"/>
        </a:p>
      </dgm:t>
    </dgm:pt>
    <dgm:pt modelId="{AEF8ED94-42DA-4EF1-80AD-1F2477D3605C}">
      <dgm:prSet phldrT="[Text]" custT="1"/>
      <dgm:spPr/>
      <dgm:t>
        <a:bodyPr/>
        <a:lstStyle/>
        <a:p>
          <a:r>
            <a:rPr lang="en-US" sz="1200"/>
            <a:t>Peak Period Definitions</a:t>
          </a:r>
        </a:p>
      </dgm:t>
    </dgm:pt>
    <dgm:pt modelId="{6B46EEDC-ADE5-42FB-9780-72F9B78254D6}" type="parTrans" cxnId="{E378BB63-F00B-49CB-B26B-A924AADC397E}">
      <dgm:prSet/>
      <dgm:spPr/>
      <dgm:t>
        <a:bodyPr/>
        <a:lstStyle/>
        <a:p>
          <a:endParaRPr lang="en-US"/>
        </a:p>
      </dgm:t>
    </dgm:pt>
    <dgm:pt modelId="{FBB6965F-F58D-48F9-83FC-2E881531F9D9}" type="sibTrans" cxnId="{E378BB63-F00B-49CB-B26B-A924AADC397E}">
      <dgm:prSet/>
      <dgm:spPr/>
      <dgm:t>
        <a:bodyPr/>
        <a:lstStyle/>
        <a:p>
          <a:endParaRPr lang="en-US"/>
        </a:p>
      </dgm:t>
    </dgm:pt>
    <dgm:pt modelId="{FB2E7AB3-2C81-475E-B60A-CAE5FFFF5383}">
      <dgm:prSet phldrT="[Text]" custT="1"/>
      <dgm:spPr/>
      <dgm:t>
        <a:bodyPr/>
        <a:lstStyle/>
        <a:p>
          <a:r>
            <a:rPr lang="en-US" sz="1200"/>
            <a:t>Program Design</a:t>
          </a:r>
        </a:p>
      </dgm:t>
    </dgm:pt>
    <dgm:pt modelId="{D16B6333-84AA-4A19-8226-AABA265C9905}" type="parTrans" cxnId="{4155ECFD-D859-41CF-A534-734BDF3D2AFC}">
      <dgm:prSet/>
      <dgm:spPr/>
      <dgm:t>
        <a:bodyPr/>
        <a:lstStyle/>
        <a:p>
          <a:endParaRPr lang="en-US"/>
        </a:p>
      </dgm:t>
    </dgm:pt>
    <dgm:pt modelId="{9ADA247B-AECE-4634-B616-8BF55C3B3BAA}" type="sibTrans" cxnId="{4155ECFD-D859-41CF-A534-734BDF3D2AFC}">
      <dgm:prSet/>
      <dgm:spPr/>
      <dgm:t>
        <a:bodyPr/>
        <a:lstStyle/>
        <a:p>
          <a:endParaRPr lang="en-US"/>
        </a:p>
      </dgm:t>
    </dgm:pt>
    <dgm:pt modelId="{598FF82B-1B4A-4BE2-B028-384F0E503589}">
      <dgm:prSet phldrT="[Text]" custT="1"/>
      <dgm:spPr/>
      <dgm:t>
        <a:bodyPr/>
        <a:lstStyle/>
        <a:p>
          <a:r>
            <a:rPr lang="en-US" sz="1200"/>
            <a:t>Calculation of Goals</a:t>
          </a:r>
        </a:p>
      </dgm:t>
    </dgm:pt>
    <dgm:pt modelId="{9759F777-8602-4C51-8EBB-B8A19FBEE523}" type="parTrans" cxnId="{ACC5A78C-3959-428E-8BCD-D41FB936E4CB}">
      <dgm:prSet/>
      <dgm:spPr/>
      <dgm:t>
        <a:bodyPr/>
        <a:lstStyle/>
        <a:p>
          <a:endParaRPr lang="en-US"/>
        </a:p>
      </dgm:t>
    </dgm:pt>
    <dgm:pt modelId="{43584E19-D9BE-4A7D-89B7-FA6673CEE31A}" type="sibTrans" cxnId="{ACC5A78C-3959-428E-8BCD-D41FB936E4CB}">
      <dgm:prSet/>
      <dgm:spPr/>
      <dgm:t>
        <a:bodyPr/>
        <a:lstStyle/>
        <a:p>
          <a:endParaRPr lang="en-US"/>
        </a:p>
      </dgm:t>
    </dgm:pt>
    <dgm:pt modelId="{924C649B-F47F-4884-9676-37768A8428A2}">
      <dgm:prSet phldrT="[Text]" custT="1"/>
      <dgm:spPr/>
      <dgm:t>
        <a:bodyPr/>
        <a:lstStyle/>
        <a:p>
          <a:r>
            <a:rPr lang="en-US" sz="1200"/>
            <a:t>Relative importance of Peak kW and kWh</a:t>
          </a:r>
        </a:p>
      </dgm:t>
    </dgm:pt>
    <dgm:pt modelId="{9BE83BB8-A028-4B79-83B1-927787295ACF}" type="parTrans" cxnId="{25F909BE-E90E-4912-AEAD-9EFC0E5E58B2}">
      <dgm:prSet/>
      <dgm:spPr/>
      <dgm:t>
        <a:bodyPr/>
        <a:lstStyle/>
        <a:p>
          <a:endParaRPr lang="en-US"/>
        </a:p>
      </dgm:t>
    </dgm:pt>
    <dgm:pt modelId="{0826EDF8-9F50-4A4B-8642-5D63D22EE3AC}" type="sibTrans" cxnId="{25F909BE-E90E-4912-AEAD-9EFC0E5E58B2}">
      <dgm:prSet/>
      <dgm:spPr/>
      <dgm:t>
        <a:bodyPr/>
        <a:lstStyle/>
        <a:p>
          <a:endParaRPr lang="en-US"/>
        </a:p>
      </dgm:t>
    </dgm:pt>
    <dgm:pt modelId="{E6940F87-7BE7-47BC-83C1-30825BAFFA58}">
      <dgm:prSet phldrT="[Text]" custT="1"/>
      <dgm:spPr/>
      <dgm:t>
        <a:bodyPr/>
        <a:lstStyle/>
        <a:p>
          <a:r>
            <a:rPr lang="en-US" sz="1200"/>
            <a:t>Program Design</a:t>
          </a:r>
        </a:p>
      </dgm:t>
    </dgm:pt>
    <dgm:pt modelId="{DEFE47B6-D281-4DA3-959B-8414FD5E22EE}" type="parTrans" cxnId="{E46D256D-82F9-41AC-84E6-8CBB26988281}">
      <dgm:prSet/>
      <dgm:spPr/>
      <dgm:t>
        <a:bodyPr/>
        <a:lstStyle/>
        <a:p>
          <a:endParaRPr lang="en-US"/>
        </a:p>
      </dgm:t>
    </dgm:pt>
    <dgm:pt modelId="{7FEEEE4C-C63A-49B8-BA06-E995E5B991A3}" type="sibTrans" cxnId="{E46D256D-82F9-41AC-84E6-8CBB26988281}">
      <dgm:prSet/>
      <dgm:spPr/>
      <dgm:t>
        <a:bodyPr/>
        <a:lstStyle/>
        <a:p>
          <a:endParaRPr lang="en-US"/>
        </a:p>
      </dgm:t>
    </dgm:pt>
    <dgm:pt modelId="{D9BC5ACB-9235-4BCB-9968-122D08F3C710}">
      <dgm:prSet phldrT="[Text]" custT="1"/>
      <dgm:spPr/>
      <dgm:t>
        <a:bodyPr/>
        <a:lstStyle/>
        <a:p>
          <a:r>
            <a:rPr lang="en-US" sz="1200"/>
            <a:t>Performance Bonus Best Practices</a:t>
          </a:r>
        </a:p>
      </dgm:t>
    </dgm:pt>
    <dgm:pt modelId="{2C47AF26-C097-43F0-BECF-627E6AF0B184}" type="parTrans" cxnId="{BEAA2D56-B9DF-46B2-98EC-75889D9D5E0D}">
      <dgm:prSet/>
      <dgm:spPr/>
      <dgm:t>
        <a:bodyPr/>
        <a:lstStyle/>
        <a:p>
          <a:endParaRPr lang="en-US"/>
        </a:p>
      </dgm:t>
    </dgm:pt>
    <dgm:pt modelId="{3DF271DC-69C3-4099-BCFB-FFC8EB71D04A}" type="sibTrans" cxnId="{BEAA2D56-B9DF-46B2-98EC-75889D9D5E0D}">
      <dgm:prSet/>
      <dgm:spPr/>
      <dgm:t>
        <a:bodyPr/>
        <a:lstStyle/>
        <a:p>
          <a:endParaRPr lang="en-US"/>
        </a:p>
      </dgm:t>
    </dgm:pt>
    <dgm:pt modelId="{8197DDC0-F12C-4755-A48A-59E2CAA263F0}">
      <dgm:prSet phldrT="[Text]" custT="1"/>
      <dgm:spPr/>
      <dgm:t>
        <a:bodyPr/>
        <a:lstStyle/>
        <a:p>
          <a:r>
            <a:rPr lang="en-US" sz="1200"/>
            <a:t>Collabortion with Other Funding Sources and Market Actors</a:t>
          </a:r>
        </a:p>
      </dgm:t>
    </dgm:pt>
    <dgm:pt modelId="{63011D91-F017-4132-90E6-F8DA9A497A44}" type="parTrans" cxnId="{E210F7E8-C235-4403-8D35-6004B6D0CA6D}">
      <dgm:prSet/>
      <dgm:spPr/>
      <dgm:t>
        <a:bodyPr/>
        <a:lstStyle/>
        <a:p>
          <a:endParaRPr lang="en-US"/>
        </a:p>
      </dgm:t>
    </dgm:pt>
    <dgm:pt modelId="{6E15AC40-A91E-4F84-B68C-93A2446F954B}" type="sibTrans" cxnId="{E210F7E8-C235-4403-8D35-6004B6D0CA6D}">
      <dgm:prSet/>
      <dgm:spPr/>
      <dgm:t>
        <a:bodyPr/>
        <a:lstStyle/>
        <a:p>
          <a:endParaRPr lang="en-US"/>
        </a:p>
      </dgm:t>
    </dgm:pt>
    <dgm:pt modelId="{E8CCB1F9-D6EC-4723-B887-2B99552DC376}">
      <dgm:prSet phldrT="[Text]" custT="1"/>
      <dgm:spPr/>
      <dgm:t>
        <a:bodyPr/>
        <a:lstStyle/>
        <a:p>
          <a:r>
            <a:rPr lang="en-US" sz="1200"/>
            <a:t>Customer Cost Caps</a:t>
          </a:r>
        </a:p>
      </dgm:t>
    </dgm:pt>
    <dgm:pt modelId="{CC23AB0B-5001-478E-8E03-65193E6913BD}" type="parTrans" cxnId="{C2AD8480-D3F0-4081-A553-9243AF8032AD}">
      <dgm:prSet/>
      <dgm:spPr/>
      <dgm:t>
        <a:bodyPr/>
        <a:lstStyle/>
        <a:p>
          <a:endParaRPr lang="en-US"/>
        </a:p>
      </dgm:t>
    </dgm:pt>
    <dgm:pt modelId="{68FA50C8-49A1-4AFE-9E2E-07189EA5026A}" type="sibTrans" cxnId="{C2AD8480-D3F0-4081-A553-9243AF8032AD}">
      <dgm:prSet/>
      <dgm:spPr/>
      <dgm:t>
        <a:bodyPr/>
        <a:lstStyle/>
        <a:p>
          <a:endParaRPr lang="en-US"/>
        </a:p>
      </dgm:t>
    </dgm:pt>
    <dgm:pt modelId="{2C83EA69-AFBA-4A91-ADF9-D213F2552CBE}">
      <dgm:prSet phldrT="[Text]" custT="1"/>
      <dgm:spPr/>
      <dgm:t>
        <a:bodyPr/>
        <a:lstStyle/>
        <a:p>
          <a:r>
            <a:rPr lang="en-US" sz="1200"/>
            <a:t>Use of DR in EE Portfolio</a:t>
          </a:r>
        </a:p>
      </dgm:t>
    </dgm:pt>
    <dgm:pt modelId="{F6FE15B0-8902-4D86-8E8F-88C7380367CE}" type="sibTrans" cxnId="{8518A7E8-8CBE-442D-8DDB-3EC32F61AB59}">
      <dgm:prSet/>
      <dgm:spPr/>
      <dgm:t>
        <a:bodyPr/>
        <a:lstStyle/>
        <a:p>
          <a:endParaRPr lang="en-US"/>
        </a:p>
      </dgm:t>
    </dgm:pt>
    <dgm:pt modelId="{00BC3447-595A-4AC4-A32A-E14DEE491BEE}" type="parTrans" cxnId="{8518A7E8-8CBE-442D-8DDB-3EC32F61AB59}">
      <dgm:prSet/>
      <dgm:spPr/>
      <dgm:t>
        <a:bodyPr/>
        <a:lstStyle/>
        <a:p>
          <a:endParaRPr lang="en-US"/>
        </a:p>
      </dgm:t>
    </dgm:pt>
    <dgm:pt modelId="{E434BCF3-A224-4D18-AE5D-5685DCD3D049}">
      <dgm:prSet phldrT="[Text]" custT="1"/>
      <dgm:spPr/>
      <dgm:t>
        <a:bodyPr/>
        <a:lstStyle/>
        <a:p>
          <a:r>
            <a:rPr lang="en-US" sz="1200"/>
            <a:t>Transparent reporting of key metrics</a:t>
          </a:r>
        </a:p>
      </dgm:t>
    </dgm:pt>
    <dgm:pt modelId="{E283A408-375E-4636-9FFD-623709E21843}" type="parTrans" cxnId="{C1DC741D-FA02-46CD-A1E8-8759F4E600D0}">
      <dgm:prSet/>
      <dgm:spPr/>
      <dgm:t>
        <a:bodyPr/>
        <a:lstStyle/>
        <a:p>
          <a:endParaRPr lang="en-US"/>
        </a:p>
      </dgm:t>
    </dgm:pt>
    <dgm:pt modelId="{DDA37B07-9ED3-4FDE-BDB6-6B818CE452F9}" type="sibTrans" cxnId="{C1DC741D-FA02-46CD-A1E8-8759F4E600D0}">
      <dgm:prSet/>
      <dgm:spPr/>
      <dgm:t>
        <a:bodyPr/>
        <a:lstStyle/>
        <a:p>
          <a:endParaRPr lang="en-US"/>
        </a:p>
      </dgm:t>
    </dgm:pt>
    <dgm:pt modelId="{82AB4291-40AC-445E-ACE3-C8D7124193A5}">
      <dgm:prSet phldrT="[Text]" custT="1"/>
      <dgm:spPr/>
      <dgm:t>
        <a:bodyPr/>
        <a:lstStyle/>
        <a:p>
          <a:r>
            <a:rPr lang="en-US" sz="1200"/>
            <a:t>Planning Cycle</a:t>
          </a:r>
        </a:p>
      </dgm:t>
    </dgm:pt>
    <dgm:pt modelId="{95DFD7EE-BF9F-4E03-A9AA-87CC688806C7}" type="parTrans" cxnId="{85A4C428-6CBA-41DD-9BB9-EC33034C4AFA}">
      <dgm:prSet/>
      <dgm:spPr/>
      <dgm:t>
        <a:bodyPr/>
        <a:lstStyle/>
        <a:p>
          <a:endParaRPr lang="en-US"/>
        </a:p>
      </dgm:t>
    </dgm:pt>
    <dgm:pt modelId="{522EA316-58BB-4A68-A67C-871B0FB19088}" type="sibTrans" cxnId="{85A4C428-6CBA-41DD-9BB9-EC33034C4AFA}">
      <dgm:prSet/>
      <dgm:spPr/>
      <dgm:t>
        <a:bodyPr/>
        <a:lstStyle/>
        <a:p>
          <a:endParaRPr lang="en-US"/>
        </a:p>
      </dgm:t>
    </dgm:pt>
    <dgm:pt modelId="{65DFBF05-3BF1-4A3E-8E78-76C921A1B248}">
      <dgm:prSet phldrT="[Text]" custT="1"/>
      <dgm:spPr/>
      <dgm:t>
        <a:bodyPr/>
        <a:lstStyle/>
        <a:p>
          <a:r>
            <a:rPr lang="en-US" sz="1200"/>
            <a:t>Role of Demand Response</a:t>
          </a:r>
        </a:p>
      </dgm:t>
    </dgm:pt>
    <dgm:pt modelId="{2811B135-09A7-4C24-938B-CB5D9A0093C6}" type="parTrans" cxnId="{4B2C3625-39F2-41C5-AE0F-8ACCDD7ECCF3}">
      <dgm:prSet/>
      <dgm:spPr/>
      <dgm:t>
        <a:bodyPr/>
        <a:lstStyle/>
        <a:p>
          <a:endParaRPr lang="en-US"/>
        </a:p>
      </dgm:t>
    </dgm:pt>
    <dgm:pt modelId="{48434610-990B-46BA-A77F-532AF3CB5066}" type="sibTrans" cxnId="{4B2C3625-39F2-41C5-AE0F-8ACCDD7ECCF3}">
      <dgm:prSet/>
      <dgm:spPr/>
      <dgm:t>
        <a:bodyPr/>
        <a:lstStyle/>
        <a:p>
          <a:endParaRPr lang="en-US"/>
        </a:p>
      </dgm:t>
    </dgm:pt>
    <dgm:pt modelId="{70020542-7884-4E0D-BE3D-5580BFDFAB17}">
      <dgm:prSet phldrT="[Text]" custT="1"/>
      <dgm:spPr/>
      <dgm:t>
        <a:bodyPr/>
        <a:lstStyle/>
        <a:p>
          <a:r>
            <a:rPr lang="en-US" sz="1200"/>
            <a:t>Low-income (LI) and Hard-to-reach (HTR) Definitions</a:t>
          </a:r>
        </a:p>
      </dgm:t>
    </dgm:pt>
    <dgm:pt modelId="{2AE0DF4D-4095-448B-A3F3-076AD7871010}" type="parTrans" cxnId="{2C20C08B-4CBF-4DEA-B2E5-C3A2CBF42673}">
      <dgm:prSet/>
      <dgm:spPr/>
      <dgm:t>
        <a:bodyPr/>
        <a:lstStyle/>
        <a:p>
          <a:endParaRPr lang="en-US"/>
        </a:p>
      </dgm:t>
    </dgm:pt>
    <dgm:pt modelId="{A5232A29-5695-4DCB-B248-6B3C964B105D}" type="sibTrans" cxnId="{2C20C08B-4CBF-4DEA-B2E5-C3A2CBF42673}">
      <dgm:prSet/>
      <dgm:spPr/>
      <dgm:t>
        <a:bodyPr/>
        <a:lstStyle/>
        <a:p>
          <a:endParaRPr lang="en-US"/>
        </a:p>
      </dgm:t>
    </dgm:pt>
    <dgm:pt modelId="{2A477AE2-05F2-452D-9C8E-BF1DAECE83D9}">
      <dgm:prSet phldrT="[Text]" custT="1"/>
      <dgm:spPr/>
      <dgm:t>
        <a:bodyPr/>
        <a:lstStyle/>
        <a:p>
          <a:r>
            <a:rPr lang="en-US" sz="1200"/>
            <a:t>Avoided Cost of Energy and Capacity</a:t>
          </a:r>
        </a:p>
      </dgm:t>
    </dgm:pt>
    <dgm:pt modelId="{7925B020-E6C1-42F4-8452-E5D3B0E68413}" type="parTrans" cxnId="{180F7A03-93B6-4B0B-B209-5F0494F455E7}">
      <dgm:prSet/>
      <dgm:spPr/>
      <dgm:t>
        <a:bodyPr/>
        <a:lstStyle/>
        <a:p>
          <a:endParaRPr lang="en-US"/>
        </a:p>
      </dgm:t>
    </dgm:pt>
    <dgm:pt modelId="{404D278E-9705-4AA3-8D09-CDD9042A5328}" type="sibTrans" cxnId="{180F7A03-93B6-4B0B-B209-5F0494F455E7}">
      <dgm:prSet/>
      <dgm:spPr/>
      <dgm:t>
        <a:bodyPr/>
        <a:lstStyle/>
        <a:p>
          <a:endParaRPr lang="en-US"/>
        </a:p>
      </dgm:t>
    </dgm:pt>
    <dgm:pt modelId="{1DD2CFC2-A8FD-4C62-BE26-53C871F37EC5}">
      <dgm:prSet phldrT="[Text]" custT="1"/>
      <dgm:spPr/>
      <dgm:t>
        <a:bodyPr/>
        <a:lstStyle/>
        <a:p>
          <a:r>
            <a:rPr lang="en-US" sz="1200"/>
            <a:t>Cost-effectiveness Calculations</a:t>
          </a:r>
        </a:p>
      </dgm:t>
    </dgm:pt>
    <dgm:pt modelId="{0B6C38A0-DCD5-47F6-8CC5-5BE01EA8DDAD}" type="parTrans" cxnId="{BE1A2559-8C79-4CCC-8475-3F58BAC6000C}">
      <dgm:prSet/>
      <dgm:spPr/>
      <dgm:t>
        <a:bodyPr/>
        <a:lstStyle/>
        <a:p>
          <a:endParaRPr lang="en-US"/>
        </a:p>
      </dgm:t>
    </dgm:pt>
    <dgm:pt modelId="{27606358-432B-4F1C-97E5-88300C866F8B}" type="sibTrans" cxnId="{BE1A2559-8C79-4CCC-8475-3F58BAC6000C}">
      <dgm:prSet/>
      <dgm:spPr/>
      <dgm:t>
        <a:bodyPr/>
        <a:lstStyle/>
        <a:p>
          <a:endParaRPr lang="en-US"/>
        </a:p>
      </dgm:t>
    </dgm:pt>
    <dgm:pt modelId="{BF982A3F-31D1-439A-9195-03FBC47E2FFA}">
      <dgm:prSet phldrT="[Text]" custT="1"/>
      <dgm:spPr/>
      <dgm:t>
        <a:bodyPr/>
        <a:lstStyle/>
        <a:p>
          <a:r>
            <a:rPr lang="en-US" sz="1200"/>
            <a:t>LI and HTR Goals</a:t>
          </a:r>
        </a:p>
      </dgm:t>
    </dgm:pt>
    <dgm:pt modelId="{84807D25-BC40-417F-8706-8F549A00B37B}" type="parTrans" cxnId="{A2B45EF8-68EA-4897-BAAB-032C9A6B387E}">
      <dgm:prSet/>
      <dgm:spPr/>
      <dgm:t>
        <a:bodyPr/>
        <a:lstStyle/>
        <a:p>
          <a:endParaRPr lang="en-US"/>
        </a:p>
      </dgm:t>
    </dgm:pt>
    <dgm:pt modelId="{82D65D9E-BCAC-47AE-A472-81CD2B3F5BD6}" type="sibTrans" cxnId="{A2B45EF8-68EA-4897-BAAB-032C9A6B387E}">
      <dgm:prSet/>
      <dgm:spPr/>
      <dgm:t>
        <a:bodyPr/>
        <a:lstStyle/>
        <a:p>
          <a:endParaRPr lang="en-US"/>
        </a:p>
      </dgm:t>
    </dgm:pt>
    <dgm:pt modelId="{EED26F32-E155-4696-844B-719B4DE10974}">
      <dgm:prSet phldrT="[Text]" custT="1"/>
      <dgm:spPr/>
      <dgm:t>
        <a:bodyPr/>
        <a:lstStyle/>
        <a:p>
          <a:r>
            <a:rPr lang="en-US" sz="1200"/>
            <a:t>Savings to investment ratio (SIR) retail energy used for LI programs</a:t>
          </a:r>
        </a:p>
      </dgm:t>
    </dgm:pt>
    <dgm:pt modelId="{1B78F469-DBAC-4BB5-BBC0-426C59F29FFA}" type="parTrans" cxnId="{855AE608-1322-4D45-917A-E1FF1FF2B461}">
      <dgm:prSet/>
      <dgm:spPr/>
      <dgm:t>
        <a:bodyPr/>
        <a:lstStyle/>
        <a:p>
          <a:endParaRPr lang="en-US"/>
        </a:p>
      </dgm:t>
    </dgm:pt>
    <dgm:pt modelId="{E2CF4EFA-BDAE-4681-8106-3C7261BC05E0}" type="sibTrans" cxnId="{855AE608-1322-4D45-917A-E1FF1FF2B461}">
      <dgm:prSet/>
      <dgm:spPr/>
      <dgm:t>
        <a:bodyPr/>
        <a:lstStyle/>
        <a:p>
          <a:endParaRPr lang="en-US"/>
        </a:p>
      </dgm:t>
    </dgm:pt>
    <dgm:pt modelId="{4781427B-CD29-4B6C-AEE9-FAFD9C3B7F45}">
      <dgm:prSet phldrT="[Text]" custT="1"/>
      <dgm:spPr/>
      <dgm:t>
        <a:bodyPr/>
        <a:lstStyle/>
        <a:p>
          <a:r>
            <a:rPr lang="en-US" sz="1200"/>
            <a:t>Performance Bonus Calculations </a:t>
          </a:r>
        </a:p>
      </dgm:t>
    </dgm:pt>
    <dgm:pt modelId="{1212B6EF-B2E4-4521-A783-C95228F50769}" type="parTrans" cxnId="{284C3745-6057-4772-A7C6-D68C876FA373}">
      <dgm:prSet/>
      <dgm:spPr/>
      <dgm:t>
        <a:bodyPr/>
        <a:lstStyle/>
        <a:p>
          <a:endParaRPr lang="en-US"/>
        </a:p>
      </dgm:t>
    </dgm:pt>
    <dgm:pt modelId="{D3A3D84A-F12D-4315-9711-D49722285FCA}" type="sibTrans" cxnId="{284C3745-6057-4772-A7C6-D68C876FA373}">
      <dgm:prSet/>
      <dgm:spPr/>
      <dgm:t>
        <a:bodyPr/>
        <a:lstStyle/>
        <a:p>
          <a:endParaRPr lang="en-US"/>
        </a:p>
      </dgm:t>
    </dgm:pt>
    <dgm:pt modelId="{094BCF82-B0DA-45D7-940A-C3368AC02BE5}">
      <dgm:prSet phldrT="[Text]" custT="1"/>
      <dgm:spPr/>
      <dgm:t>
        <a:bodyPr/>
        <a:lstStyle/>
        <a:p>
          <a:r>
            <a:rPr lang="en-US" sz="1200"/>
            <a:t>Marketing outside of administrative costs</a:t>
          </a:r>
        </a:p>
      </dgm:t>
    </dgm:pt>
    <dgm:pt modelId="{7F39C0F7-3FC0-4400-84B0-E1AB0FD22B40}" type="parTrans" cxnId="{F87B8D8C-1DDA-4D11-BB17-B631CBAD715F}">
      <dgm:prSet/>
      <dgm:spPr/>
      <dgm:t>
        <a:bodyPr/>
        <a:lstStyle/>
        <a:p>
          <a:endParaRPr lang="en-US"/>
        </a:p>
      </dgm:t>
    </dgm:pt>
    <dgm:pt modelId="{E21EED07-9154-4DC0-AF38-E9927E539ACC}" type="sibTrans" cxnId="{F87B8D8C-1DDA-4D11-BB17-B631CBAD715F}">
      <dgm:prSet/>
      <dgm:spPr/>
      <dgm:t>
        <a:bodyPr/>
        <a:lstStyle/>
        <a:p>
          <a:endParaRPr lang="en-US"/>
        </a:p>
      </dgm:t>
    </dgm:pt>
    <dgm:pt modelId="{975E57D1-9DDF-4D55-B17D-F62979EB6147}" type="pres">
      <dgm:prSet presAssocID="{CECD5994-DEE5-4713-82BD-B9B888BB8227}" presName="Name0" presStyleCnt="0">
        <dgm:presLayoutVars>
          <dgm:dir/>
          <dgm:animLvl val="lvl"/>
          <dgm:resizeHandles val="exact"/>
        </dgm:presLayoutVars>
      </dgm:prSet>
      <dgm:spPr/>
    </dgm:pt>
    <dgm:pt modelId="{BA118004-1780-4809-AEDF-A32574961604}" type="pres">
      <dgm:prSet presAssocID="{F330A72F-8CD8-44AC-81AB-89EEB3CA525D}" presName="composite" presStyleCnt="0"/>
      <dgm:spPr/>
    </dgm:pt>
    <dgm:pt modelId="{3A8511C9-FC54-4339-85AF-633E23D385D4}" type="pres">
      <dgm:prSet presAssocID="{F330A72F-8CD8-44AC-81AB-89EEB3CA525D}" presName="parTx" presStyleLbl="alignNode1" presStyleIdx="0" presStyleCnt="3">
        <dgm:presLayoutVars>
          <dgm:chMax val="0"/>
          <dgm:chPref val="0"/>
          <dgm:bulletEnabled val="1"/>
        </dgm:presLayoutVars>
      </dgm:prSet>
      <dgm:spPr/>
    </dgm:pt>
    <dgm:pt modelId="{DCA0901C-95F6-4BC1-990F-12580A5256C6}" type="pres">
      <dgm:prSet presAssocID="{F330A72F-8CD8-44AC-81AB-89EEB3CA525D}" presName="desTx" presStyleLbl="alignAccFollowNode1" presStyleIdx="0" presStyleCnt="3">
        <dgm:presLayoutVars>
          <dgm:bulletEnabled val="1"/>
        </dgm:presLayoutVars>
      </dgm:prSet>
      <dgm:spPr/>
    </dgm:pt>
    <dgm:pt modelId="{A9022D6F-9EB4-4020-969F-F96295D6577F}" type="pres">
      <dgm:prSet presAssocID="{AC63462A-559A-4E07-B053-F368BA82F180}" presName="space" presStyleCnt="0"/>
      <dgm:spPr/>
    </dgm:pt>
    <dgm:pt modelId="{1610D97D-46AA-41D9-A0C4-37DBDEF6F57B}" type="pres">
      <dgm:prSet presAssocID="{A18AED11-213C-4291-9DFF-8062398FF59A}" presName="composite" presStyleCnt="0"/>
      <dgm:spPr/>
    </dgm:pt>
    <dgm:pt modelId="{431C092A-2D2A-4FDE-9299-7D17D963DB19}" type="pres">
      <dgm:prSet presAssocID="{A18AED11-213C-4291-9DFF-8062398FF59A}" presName="parTx" presStyleLbl="alignNode1" presStyleIdx="1" presStyleCnt="3">
        <dgm:presLayoutVars>
          <dgm:chMax val="0"/>
          <dgm:chPref val="0"/>
          <dgm:bulletEnabled val="1"/>
        </dgm:presLayoutVars>
      </dgm:prSet>
      <dgm:spPr/>
    </dgm:pt>
    <dgm:pt modelId="{6ABCB92F-6B8C-4BE4-9D96-95AE3CD2E5CB}" type="pres">
      <dgm:prSet presAssocID="{A18AED11-213C-4291-9DFF-8062398FF59A}" presName="desTx" presStyleLbl="alignAccFollowNode1" presStyleIdx="1" presStyleCnt="3">
        <dgm:presLayoutVars>
          <dgm:bulletEnabled val="1"/>
        </dgm:presLayoutVars>
      </dgm:prSet>
      <dgm:spPr/>
    </dgm:pt>
    <dgm:pt modelId="{1A198EAD-7AC8-4B36-BA55-FC06066A6D66}" type="pres">
      <dgm:prSet presAssocID="{3F65FABA-BAA4-409A-8A6E-B667F961FF2F}" presName="space" presStyleCnt="0"/>
      <dgm:spPr/>
    </dgm:pt>
    <dgm:pt modelId="{F737B66F-0E62-4E77-A162-EFB2344D452A}" type="pres">
      <dgm:prSet presAssocID="{611E0721-9829-478E-A0BB-BFAF9688D71A}" presName="composite" presStyleCnt="0"/>
      <dgm:spPr/>
    </dgm:pt>
    <dgm:pt modelId="{B9BE550D-7C69-406A-82D8-2CFE9B732735}" type="pres">
      <dgm:prSet presAssocID="{611E0721-9829-478E-A0BB-BFAF9688D71A}" presName="parTx" presStyleLbl="alignNode1" presStyleIdx="2" presStyleCnt="3">
        <dgm:presLayoutVars>
          <dgm:chMax val="0"/>
          <dgm:chPref val="0"/>
          <dgm:bulletEnabled val="1"/>
        </dgm:presLayoutVars>
      </dgm:prSet>
      <dgm:spPr/>
    </dgm:pt>
    <dgm:pt modelId="{19E8825B-EFF7-47DD-AE45-E28043AB15A3}" type="pres">
      <dgm:prSet presAssocID="{611E0721-9829-478E-A0BB-BFAF9688D71A}" presName="desTx" presStyleLbl="alignAccFollowNode1" presStyleIdx="2" presStyleCnt="3">
        <dgm:presLayoutVars>
          <dgm:bulletEnabled val="1"/>
        </dgm:presLayoutVars>
      </dgm:prSet>
      <dgm:spPr/>
    </dgm:pt>
  </dgm:ptLst>
  <dgm:cxnLst>
    <dgm:cxn modelId="{BF3A3402-A77C-4237-B968-1C83323A9C3E}" srcId="{A18AED11-213C-4291-9DFF-8062398FF59A}" destId="{6904F8CC-7273-4C4C-B5C0-6EE3CFEB46D8}" srcOrd="2" destOrd="0" parTransId="{24F09A07-58C9-4BA5-AF12-C5539421DF4C}" sibTransId="{610FA1AA-6650-46A7-B9DA-873C57885C35}"/>
    <dgm:cxn modelId="{180F7A03-93B6-4B0B-B209-5F0494F455E7}" srcId="{F330A72F-8CD8-44AC-81AB-89EEB3CA525D}" destId="{2A477AE2-05F2-452D-9C8E-BF1DAECE83D9}" srcOrd="4" destOrd="0" parTransId="{7925B020-E6C1-42F4-8452-E5D3B0E68413}" sibTransId="{404D278E-9705-4AA3-8D09-CDD9042A5328}"/>
    <dgm:cxn modelId="{B9A20E06-A908-4FD4-801A-051048D6A87A}" srcId="{CECD5994-DEE5-4713-82BD-B9B888BB8227}" destId="{A18AED11-213C-4291-9DFF-8062398FF59A}" srcOrd="1" destOrd="0" parTransId="{EAC2686A-C3B7-4A03-ADBE-D9BDB89E2437}" sibTransId="{3F65FABA-BAA4-409A-8A6E-B667F961FF2F}"/>
    <dgm:cxn modelId="{B9BFE306-70C6-4310-A32A-A076E4DF86A4}" type="presOf" srcId="{CECD5994-DEE5-4713-82BD-B9B888BB8227}" destId="{975E57D1-9DDF-4D55-B17D-F62979EB6147}" srcOrd="0" destOrd="0" presId="urn:microsoft.com/office/officeart/2005/8/layout/hList1"/>
    <dgm:cxn modelId="{855AE608-1322-4D45-917A-E1FF1FF2B461}" srcId="{611E0721-9829-478E-A0BB-BFAF9688D71A}" destId="{EED26F32-E155-4696-844B-719B4DE10974}" srcOrd="6" destOrd="0" parTransId="{1B78F469-DBAC-4BB5-BBC0-426C59F29FFA}" sibTransId="{E2CF4EFA-BDAE-4681-8106-3C7261BC05E0}"/>
    <dgm:cxn modelId="{C5DAA30D-5A63-4866-9AAF-B736D060C7FC}" srcId="{F330A72F-8CD8-44AC-81AB-89EEB3CA525D}" destId="{B86BBB6F-8144-4483-A5C8-A5549DE1B85D}" srcOrd="0" destOrd="0" parTransId="{EC3AFFA6-64C9-4779-ABD2-76EBA29722CC}" sibTransId="{60FD27B5-5D44-40FF-AEFD-CD3349E90F03}"/>
    <dgm:cxn modelId="{43D3E911-5247-4860-ADB4-E958B2738773}" type="presOf" srcId="{611E0721-9829-478E-A0BB-BFAF9688D71A}" destId="{B9BE550D-7C69-406A-82D8-2CFE9B732735}" srcOrd="0" destOrd="0" presId="urn:microsoft.com/office/officeart/2005/8/layout/hList1"/>
    <dgm:cxn modelId="{CCF66217-7802-464E-AF05-85662D810107}" type="presOf" srcId="{8197DDC0-F12C-4755-A48A-59E2CAA263F0}" destId="{19E8825B-EFF7-47DD-AE45-E28043AB15A3}" srcOrd="0" destOrd="4" presId="urn:microsoft.com/office/officeart/2005/8/layout/hList1"/>
    <dgm:cxn modelId="{7864711B-93D0-4DA6-BB18-B752677507AC}" type="presOf" srcId="{AEF8ED94-42DA-4EF1-80AD-1F2477D3605C}" destId="{DCA0901C-95F6-4BC1-990F-12580A5256C6}" srcOrd="0" destOrd="2" presId="urn:microsoft.com/office/officeart/2005/8/layout/hList1"/>
    <dgm:cxn modelId="{C1DC741D-FA02-46CD-A1E8-8759F4E600D0}" srcId="{611E0721-9829-478E-A0BB-BFAF9688D71A}" destId="{E434BCF3-A224-4D18-AE5D-5685DCD3D049}" srcOrd="5" destOrd="0" parTransId="{E283A408-375E-4636-9FFD-623709E21843}" sibTransId="{DDA37B07-9ED3-4FDE-BDB6-6B818CE452F9}"/>
    <dgm:cxn modelId="{405D181F-E3D5-4CC5-A8F8-BA91B4BFDF71}" type="presOf" srcId="{2A477AE2-05F2-452D-9C8E-BF1DAECE83D9}" destId="{DCA0901C-95F6-4BC1-990F-12580A5256C6}" srcOrd="0" destOrd="4" presId="urn:microsoft.com/office/officeart/2005/8/layout/hList1"/>
    <dgm:cxn modelId="{4B2C3625-39F2-41C5-AE0F-8ACCDD7ECCF3}" srcId="{F330A72F-8CD8-44AC-81AB-89EEB3CA525D}" destId="{65DFBF05-3BF1-4A3E-8E78-76C921A1B248}" srcOrd="1" destOrd="0" parTransId="{2811B135-09A7-4C24-938B-CB5D9A0093C6}" sibTransId="{48434610-990B-46BA-A77F-532AF3CB5066}"/>
    <dgm:cxn modelId="{19553D25-A738-422F-AEBA-8A4DC05925FD}" type="presOf" srcId="{EED26F32-E155-4696-844B-719B4DE10974}" destId="{19E8825B-EFF7-47DD-AE45-E28043AB15A3}" srcOrd="0" destOrd="6" presId="urn:microsoft.com/office/officeart/2005/8/layout/hList1"/>
    <dgm:cxn modelId="{85A4C428-6CBA-41DD-9BB9-EC33034C4AFA}" srcId="{F330A72F-8CD8-44AC-81AB-89EEB3CA525D}" destId="{82AB4291-40AC-445E-ACE3-C8D7124193A5}" srcOrd="7" destOrd="0" parTransId="{95DFD7EE-BF9F-4E03-A9AA-87CC688806C7}" sibTransId="{522EA316-58BB-4A68-A67C-871B0FB19088}"/>
    <dgm:cxn modelId="{2F8A8032-8AA8-4634-85E4-3C2A67EB62A0}" type="presOf" srcId="{D9BC5ACB-9235-4BCB-9968-122D08F3C710}" destId="{6ABCB92F-6B8C-4BE4-9D96-95AE3CD2E5CB}" srcOrd="0" destOrd="6" presId="urn:microsoft.com/office/officeart/2005/8/layout/hList1"/>
    <dgm:cxn modelId="{45154F37-E379-4A1A-9390-F1DB329897CD}" srcId="{611E0721-9829-478E-A0BB-BFAF9688D71A}" destId="{03F5EDC0-1FC8-4A9D-9818-6749842B5EB2}" srcOrd="0" destOrd="0" parTransId="{02869B33-D67E-4A4E-BEE1-4843688F24E2}" sibTransId="{30AF8B49-262B-4885-9E66-8666F499C9E4}"/>
    <dgm:cxn modelId="{4350F260-19AA-44DB-9CC3-B26960BFC0B4}" type="presOf" srcId="{B86BBB6F-8144-4483-A5C8-A5549DE1B85D}" destId="{DCA0901C-95F6-4BC1-990F-12580A5256C6}" srcOrd="0" destOrd="0" presId="urn:microsoft.com/office/officeart/2005/8/layout/hList1"/>
    <dgm:cxn modelId="{E378BB63-F00B-49CB-B26B-A924AADC397E}" srcId="{F330A72F-8CD8-44AC-81AB-89EEB3CA525D}" destId="{AEF8ED94-42DA-4EF1-80AD-1F2477D3605C}" srcOrd="2" destOrd="0" parTransId="{6B46EEDC-ADE5-42FB-9780-72F9B78254D6}" sibTransId="{FBB6965F-F58D-48F9-83FC-2E881531F9D9}"/>
    <dgm:cxn modelId="{1AC4D163-258B-4EB2-9430-4CF786EA536F}" type="presOf" srcId="{2C83EA69-AFBA-4A91-ADF9-D213F2552CBE}" destId="{6ABCB92F-6B8C-4BE4-9D96-95AE3CD2E5CB}" srcOrd="0" destOrd="3" presId="urn:microsoft.com/office/officeart/2005/8/layout/hList1"/>
    <dgm:cxn modelId="{284C3745-6057-4772-A7C6-D68C876FA373}" srcId="{F330A72F-8CD8-44AC-81AB-89EEB3CA525D}" destId="{4781427B-CD29-4B6C-AEE9-FAFD9C3B7F45}" srcOrd="8" destOrd="0" parTransId="{1212B6EF-B2E4-4521-A783-C95228F50769}" sibTransId="{D3A3D84A-F12D-4315-9711-D49722285FCA}"/>
    <dgm:cxn modelId="{6B417846-1E82-4226-98D3-EFB410AF5C48}" type="presOf" srcId="{70020542-7884-4E0D-BE3D-5580BFDFAB17}" destId="{DCA0901C-95F6-4BC1-990F-12580A5256C6}" srcOrd="0" destOrd="3" presId="urn:microsoft.com/office/officeart/2005/8/layout/hList1"/>
    <dgm:cxn modelId="{EFB40567-C1A7-4CB3-9840-E3C63379DEE8}" type="presOf" srcId="{E434BCF3-A224-4D18-AE5D-5685DCD3D049}" destId="{19E8825B-EFF7-47DD-AE45-E28043AB15A3}" srcOrd="0" destOrd="5" presId="urn:microsoft.com/office/officeart/2005/8/layout/hList1"/>
    <dgm:cxn modelId="{E967F149-F208-40B4-9BFB-A19A7232B607}" type="presOf" srcId="{4781427B-CD29-4B6C-AEE9-FAFD9C3B7F45}" destId="{DCA0901C-95F6-4BC1-990F-12580A5256C6}" srcOrd="0" destOrd="8" presId="urn:microsoft.com/office/officeart/2005/8/layout/hList1"/>
    <dgm:cxn modelId="{C621336B-CE59-4F3D-A8E6-B4288EEF7109}" srcId="{CECD5994-DEE5-4713-82BD-B9B888BB8227}" destId="{F330A72F-8CD8-44AC-81AB-89EEB3CA525D}" srcOrd="0" destOrd="0" parTransId="{D8342136-0527-43D2-A50A-4479C27C7D27}" sibTransId="{AC63462A-559A-4E07-B053-F368BA82F180}"/>
    <dgm:cxn modelId="{E46D256D-82F9-41AC-84E6-8CBB26988281}" srcId="{611E0721-9829-478E-A0BB-BFAF9688D71A}" destId="{E6940F87-7BE7-47BC-83C1-30825BAFFA58}" srcOrd="3" destOrd="0" parTransId="{DEFE47B6-D281-4DA3-959B-8414FD5E22EE}" sibTransId="{7FEEEE4C-C63A-49B8-BA06-E995E5B991A3}"/>
    <dgm:cxn modelId="{56D7C86F-130E-46C8-8B04-3BCDDDD0DD16}" type="presOf" srcId="{E6940F87-7BE7-47BC-83C1-30825BAFFA58}" destId="{19E8825B-EFF7-47DD-AE45-E28043AB15A3}" srcOrd="0" destOrd="3" presId="urn:microsoft.com/office/officeart/2005/8/layout/hList1"/>
    <dgm:cxn modelId="{60F1DC52-94C9-4BF6-86CD-8B6610219366}" type="presOf" srcId="{924C649B-F47F-4884-9676-37768A8428A2}" destId="{19E8825B-EFF7-47DD-AE45-E28043AB15A3}" srcOrd="0" destOrd="2" presId="urn:microsoft.com/office/officeart/2005/8/layout/hList1"/>
    <dgm:cxn modelId="{BEAA2D56-B9DF-46B2-98EC-75889D9D5E0D}" srcId="{A18AED11-213C-4291-9DFF-8062398FF59A}" destId="{D9BC5ACB-9235-4BCB-9968-122D08F3C710}" srcOrd="6" destOrd="0" parTransId="{2C47AF26-C097-43F0-BECF-627E6AF0B184}" sibTransId="{3DF271DC-69C3-4099-BCFB-FFC8EB71D04A}"/>
    <dgm:cxn modelId="{BE1A2559-8C79-4CCC-8475-3F58BAC6000C}" srcId="{F330A72F-8CD8-44AC-81AB-89EEB3CA525D}" destId="{1DD2CFC2-A8FD-4C62-BE26-53C871F37EC5}" srcOrd="5" destOrd="0" parTransId="{0B6C38A0-DCD5-47F6-8CC5-5BE01EA8DDAD}" sibTransId="{27606358-432B-4F1C-97E5-88300C866F8B}"/>
    <dgm:cxn modelId="{8A477A59-0058-459C-BA8C-80E652D90639}" type="presOf" srcId="{03F5EDC0-1FC8-4A9D-9818-6749842B5EB2}" destId="{19E8825B-EFF7-47DD-AE45-E28043AB15A3}" srcOrd="0" destOrd="0" presId="urn:microsoft.com/office/officeart/2005/8/layout/hList1"/>
    <dgm:cxn modelId="{858EAA5A-BB48-404F-8429-13EF4F98E72E}" srcId="{CECD5994-DEE5-4713-82BD-B9B888BB8227}" destId="{611E0721-9829-478E-A0BB-BFAF9688D71A}" srcOrd="2" destOrd="0" parTransId="{AFABF1C8-4155-4C35-939B-EEF4EA5CE932}" sibTransId="{C0951696-B637-47C9-ACFD-A57CB466E3B9}"/>
    <dgm:cxn modelId="{BF63F97B-BFAB-4745-998D-FC0AC154DC16}" type="presOf" srcId="{A18AED11-213C-4291-9DFF-8062398FF59A}" destId="{431C092A-2D2A-4FDE-9299-7D17D963DB19}" srcOrd="0" destOrd="0" presId="urn:microsoft.com/office/officeart/2005/8/layout/hList1"/>
    <dgm:cxn modelId="{C2AD8480-D3F0-4081-A553-9243AF8032AD}" srcId="{F330A72F-8CD8-44AC-81AB-89EEB3CA525D}" destId="{E8CCB1F9-D6EC-4723-B887-2B99552DC376}" srcOrd="6" destOrd="0" parTransId="{CC23AB0B-5001-478E-8E03-65193E6913BD}" sibTransId="{68FA50C8-49A1-4AFE-9E2E-07189EA5026A}"/>
    <dgm:cxn modelId="{92D32181-D1C9-4BE2-8F36-891861DAEF31}" type="presOf" srcId="{094BCF82-B0DA-45D7-940A-C3368AC02BE5}" destId="{6ABCB92F-6B8C-4BE4-9D96-95AE3CD2E5CB}" srcOrd="0" destOrd="7" presId="urn:microsoft.com/office/officeart/2005/8/layout/hList1"/>
    <dgm:cxn modelId="{2A667383-B1D5-43B2-B9FC-3F81063C00A8}" type="presOf" srcId="{F330A72F-8CD8-44AC-81AB-89EEB3CA525D}" destId="{3A8511C9-FC54-4339-85AF-633E23D385D4}" srcOrd="0" destOrd="0" presId="urn:microsoft.com/office/officeart/2005/8/layout/hList1"/>
    <dgm:cxn modelId="{2C20C08B-4CBF-4DEA-B2E5-C3A2CBF42673}" srcId="{F330A72F-8CD8-44AC-81AB-89EEB3CA525D}" destId="{70020542-7884-4E0D-BE3D-5580BFDFAB17}" srcOrd="3" destOrd="0" parTransId="{2AE0DF4D-4095-448B-A3F3-076AD7871010}" sibTransId="{A5232A29-5695-4DCB-B248-6B3C964B105D}"/>
    <dgm:cxn modelId="{F87B8D8C-1DDA-4D11-BB17-B631CBAD715F}" srcId="{A18AED11-213C-4291-9DFF-8062398FF59A}" destId="{094BCF82-B0DA-45D7-940A-C3368AC02BE5}" srcOrd="7" destOrd="0" parTransId="{7F39C0F7-3FC0-4400-84B0-E1AB0FD22B40}" sibTransId="{E21EED07-9154-4DC0-AF38-E9927E539ACC}"/>
    <dgm:cxn modelId="{ACC5A78C-3959-428E-8BCD-D41FB936E4CB}" srcId="{A18AED11-213C-4291-9DFF-8062398FF59A}" destId="{598FF82B-1B4A-4BE2-B028-384F0E503589}" srcOrd="5" destOrd="0" parTransId="{9759F777-8602-4C51-8EBB-B8A19FBEE523}" sibTransId="{43584E19-D9BE-4A7D-89B7-FA6673CEE31A}"/>
    <dgm:cxn modelId="{815FDD8F-8F54-4A4C-835C-26C7C0709C23}" type="presOf" srcId="{8BE4B6DB-D24C-4A2F-B5EA-2514B27BEBA9}" destId="{6ABCB92F-6B8C-4BE4-9D96-95AE3CD2E5CB}" srcOrd="0" destOrd="1" presId="urn:microsoft.com/office/officeart/2005/8/layout/hList1"/>
    <dgm:cxn modelId="{F07B0FA0-763E-4AA1-9800-B10A3ADCBBA6}" srcId="{611E0721-9829-478E-A0BB-BFAF9688D71A}" destId="{32AA3052-FC3A-4DFA-A94C-FC2443C39A71}" srcOrd="1" destOrd="0" parTransId="{2A8C82BA-93E6-43A7-8776-6176FD3A43D9}" sibTransId="{A744C2E7-7997-490F-8D75-10158E87F5AC}"/>
    <dgm:cxn modelId="{6CEAABA0-3B7B-44B3-9349-A151B3A4B1E7}" type="presOf" srcId="{1DD2CFC2-A8FD-4C62-BE26-53C871F37EC5}" destId="{DCA0901C-95F6-4BC1-990F-12580A5256C6}" srcOrd="0" destOrd="5" presId="urn:microsoft.com/office/officeart/2005/8/layout/hList1"/>
    <dgm:cxn modelId="{523A68BA-63F9-40AC-8E7A-3221020B754D}" type="presOf" srcId="{FB2E7AB3-2C81-475E-B60A-CAE5FFFF5383}" destId="{6ABCB92F-6B8C-4BE4-9D96-95AE3CD2E5CB}" srcOrd="0" destOrd="4" presId="urn:microsoft.com/office/officeart/2005/8/layout/hList1"/>
    <dgm:cxn modelId="{4220E5BC-F321-434C-8F05-632AEBDB5596}" srcId="{A18AED11-213C-4291-9DFF-8062398FF59A}" destId="{8BE4B6DB-D24C-4A2F-B5EA-2514B27BEBA9}" srcOrd="1" destOrd="0" parTransId="{3A5AAAAC-8A85-4BA6-A779-484151DB334F}" sibTransId="{B18ED7A2-D296-4AD3-8663-2ED6EDDB981C}"/>
    <dgm:cxn modelId="{6B1006BE-D2E1-4FA8-A1D7-5A5AF7965B19}" type="presOf" srcId="{32AA3052-FC3A-4DFA-A94C-FC2443C39A71}" destId="{19E8825B-EFF7-47DD-AE45-E28043AB15A3}" srcOrd="0" destOrd="1" presId="urn:microsoft.com/office/officeart/2005/8/layout/hList1"/>
    <dgm:cxn modelId="{25F909BE-E90E-4912-AEAD-9EFC0E5E58B2}" srcId="{611E0721-9829-478E-A0BB-BFAF9688D71A}" destId="{924C649B-F47F-4884-9676-37768A8428A2}" srcOrd="2" destOrd="0" parTransId="{9BE83BB8-A028-4B79-83B1-927787295ACF}" sibTransId="{0826EDF8-9F50-4A4B-8642-5D63D22EE3AC}"/>
    <dgm:cxn modelId="{C53901C2-8A04-46F7-818E-1E7648BBC670}" type="presOf" srcId="{598FF82B-1B4A-4BE2-B028-384F0E503589}" destId="{6ABCB92F-6B8C-4BE4-9D96-95AE3CD2E5CB}" srcOrd="0" destOrd="5" presId="urn:microsoft.com/office/officeart/2005/8/layout/hList1"/>
    <dgm:cxn modelId="{B1E417D5-3B25-462C-B206-45BE1A10C01C}" type="presOf" srcId="{82AB4291-40AC-445E-ACE3-C8D7124193A5}" destId="{DCA0901C-95F6-4BC1-990F-12580A5256C6}" srcOrd="0" destOrd="7" presId="urn:microsoft.com/office/officeart/2005/8/layout/hList1"/>
    <dgm:cxn modelId="{F7A340D6-8AB5-4349-9FF1-845F01E32EAF}" type="presOf" srcId="{E8CCB1F9-D6EC-4723-B887-2B99552DC376}" destId="{DCA0901C-95F6-4BC1-990F-12580A5256C6}" srcOrd="0" destOrd="6" presId="urn:microsoft.com/office/officeart/2005/8/layout/hList1"/>
    <dgm:cxn modelId="{990272E0-0A0B-4217-8E25-37F50FDCFE80}" type="presOf" srcId="{65DFBF05-3BF1-4A3E-8E78-76C921A1B248}" destId="{DCA0901C-95F6-4BC1-990F-12580A5256C6}" srcOrd="0" destOrd="1" presId="urn:microsoft.com/office/officeart/2005/8/layout/hList1"/>
    <dgm:cxn modelId="{8518A7E8-8CBE-442D-8DDB-3EC32F61AB59}" srcId="{A18AED11-213C-4291-9DFF-8062398FF59A}" destId="{2C83EA69-AFBA-4A91-ADF9-D213F2552CBE}" srcOrd="3" destOrd="0" parTransId="{00BC3447-595A-4AC4-A32A-E14DEE491BEE}" sibTransId="{F6FE15B0-8902-4D86-8E8F-88C7380367CE}"/>
    <dgm:cxn modelId="{E210F7E8-C235-4403-8D35-6004B6D0CA6D}" srcId="{611E0721-9829-478E-A0BB-BFAF9688D71A}" destId="{8197DDC0-F12C-4755-A48A-59E2CAA263F0}" srcOrd="4" destOrd="0" parTransId="{63011D91-F017-4132-90E6-F8DA9A497A44}" sibTransId="{6E15AC40-A91E-4F84-B68C-93A2446F954B}"/>
    <dgm:cxn modelId="{65885BF3-ABAC-4E27-8FD2-233B1AE48A15}" type="presOf" srcId="{6904F8CC-7273-4C4C-B5C0-6EE3CFEB46D8}" destId="{6ABCB92F-6B8C-4BE4-9D96-95AE3CD2E5CB}" srcOrd="0" destOrd="2" presId="urn:microsoft.com/office/officeart/2005/8/layout/hList1"/>
    <dgm:cxn modelId="{A2B45EF8-68EA-4897-BAAB-032C9A6B387E}" srcId="{A18AED11-213C-4291-9DFF-8062398FF59A}" destId="{BF982A3F-31D1-439A-9195-03FBC47E2FFA}" srcOrd="0" destOrd="0" parTransId="{84807D25-BC40-417F-8706-8F549A00B37B}" sibTransId="{82D65D9E-BCAC-47AE-A472-81CD2B3F5BD6}"/>
    <dgm:cxn modelId="{4155ECFD-D859-41CF-A534-734BDF3D2AFC}" srcId="{A18AED11-213C-4291-9DFF-8062398FF59A}" destId="{FB2E7AB3-2C81-475E-B60A-CAE5FFFF5383}" srcOrd="4" destOrd="0" parTransId="{D16B6333-84AA-4A19-8226-AABA265C9905}" sibTransId="{9ADA247B-AECE-4634-B616-8BF55C3B3BAA}"/>
    <dgm:cxn modelId="{3CE00BFF-9657-47D6-8232-3193CE868AC1}" type="presOf" srcId="{BF982A3F-31D1-439A-9195-03FBC47E2FFA}" destId="{6ABCB92F-6B8C-4BE4-9D96-95AE3CD2E5CB}" srcOrd="0" destOrd="0" presId="urn:microsoft.com/office/officeart/2005/8/layout/hList1"/>
    <dgm:cxn modelId="{63921735-26A9-4319-9935-4C09C7638CB9}" type="presParOf" srcId="{975E57D1-9DDF-4D55-B17D-F62979EB6147}" destId="{BA118004-1780-4809-AEDF-A32574961604}" srcOrd="0" destOrd="0" presId="urn:microsoft.com/office/officeart/2005/8/layout/hList1"/>
    <dgm:cxn modelId="{19949625-209E-4E3C-A52E-20CF4262A294}" type="presParOf" srcId="{BA118004-1780-4809-AEDF-A32574961604}" destId="{3A8511C9-FC54-4339-85AF-633E23D385D4}" srcOrd="0" destOrd="0" presId="urn:microsoft.com/office/officeart/2005/8/layout/hList1"/>
    <dgm:cxn modelId="{EA9F4967-C2AE-4069-B615-A828402CBF0C}" type="presParOf" srcId="{BA118004-1780-4809-AEDF-A32574961604}" destId="{DCA0901C-95F6-4BC1-990F-12580A5256C6}" srcOrd="1" destOrd="0" presId="urn:microsoft.com/office/officeart/2005/8/layout/hList1"/>
    <dgm:cxn modelId="{E29555F3-9831-4F57-B102-2F304111E687}" type="presParOf" srcId="{975E57D1-9DDF-4D55-B17D-F62979EB6147}" destId="{A9022D6F-9EB4-4020-969F-F96295D6577F}" srcOrd="1" destOrd="0" presId="urn:microsoft.com/office/officeart/2005/8/layout/hList1"/>
    <dgm:cxn modelId="{16A5349F-0FA7-4282-AD3B-B1A5DB3F2671}" type="presParOf" srcId="{975E57D1-9DDF-4D55-B17D-F62979EB6147}" destId="{1610D97D-46AA-41D9-A0C4-37DBDEF6F57B}" srcOrd="2" destOrd="0" presId="urn:microsoft.com/office/officeart/2005/8/layout/hList1"/>
    <dgm:cxn modelId="{811C847B-DCD4-4171-8FDC-CF4ED868084C}" type="presParOf" srcId="{1610D97D-46AA-41D9-A0C4-37DBDEF6F57B}" destId="{431C092A-2D2A-4FDE-9299-7D17D963DB19}" srcOrd="0" destOrd="0" presId="urn:microsoft.com/office/officeart/2005/8/layout/hList1"/>
    <dgm:cxn modelId="{596460FB-B81D-4343-B66A-A76BD543991D}" type="presParOf" srcId="{1610D97D-46AA-41D9-A0C4-37DBDEF6F57B}" destId="{6ABCB92F-6B8C-4BE4-9D96-95AE3CD2E5CB}" srcOrd="1" destOrd="0" presId="urn:microsoft.com/office/officeart/2005/8/layout/hList1"/>
    <dgm:cxn modelId="{29FC47EB-F716-4186-A63F-152C2CA23021}" type="presParOf" srcId="{975E57D1-9DDF-4D55-B17D-F62979EB6147}" destId="{1A198EAD-7AC8-4B36-BA55-FC06066A6D66}" srcOrd="3" destOrd="0" presId="urn:microsoft.com/office/officeart/2005/8/layout/hList1"/>
    <dgm:cxn modelId="{CFF42D13-C5E2-4FD8-9A0B-9E2C56F2E2A0}" type="presParOf" srcId="{975E57D1-9DDF-4D55-B17D-F62979EB6147}" destId="{F737B66F-0E62-4E77-A162-EFB2344D452A}" srcOrd="4" destOrd="0" presId="urn:microsoft.com/office/officeart/2005/8/layout/hList1"/>
    <dgm:cxn modelId="{49C9DB5B-CB00-4004-8067-F948556807D6}" type="presParOf" srcId="{F737B66F-0E62-4E77-A162-EFB2344D452A}" destId="{B9BE550D-7C69-406A-82D8-2CFE9B732735}" srcOrd="0" destOrd="0" presId="urn:microsoft.com/office/officeart/2005/8/layout/hList1"/>
    <dgm:cxn modelId="{350AF6D8-530A-4C8C-9248-47D6851AF937}" type="presParOf" srcId="{F737B66F-0E62-4E77-A162-EFB2344D452A}" destId="{19E8825B-EFF7-47DD-AE45-E28043AB15A3}" srcOrd="1" destOrd="0" presId="urn:microsoft.com/office/officeart/2005/8/layout/hList1"/>
  </dgm:cxnLst>
  <dgm:bg/>
  <dgm:whole/>
  <dgm:extLst>
    <a:ext uri="http://schemas.microsoft.com/office/drawing/2008/diagram">
      <dsp:dataModelExt xmlns:dsp="http://schemas.microsoft.com/office/drawing/2008/diagram" relId="rId20"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978F598-1E35-47DF-83C0-4D91DAAC41B3}">
      <dsp:nvSpPr>
        <dsp:cNvPr id="0" name=""/>
        <dsp:cNvSpPr/>
      </dsp:nvSpPr>
      <dsp:spPr>
        <a:xfrm rot="5400000">
          <a:off x="-141025" y="144557"/>
          <a:ext cx="940170" cy="65811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b="1" kern="1200"/>
            <a:t>Oct.  2022 EEIP Biannual Meeting</a:t>
          </a:r>
        </a:p>
      </dsp:txBody>
      <dsp:txXfrm rot="-5400000">
        <a:off x="1" y="332592"/>
        <a:ext cx="658119" cy="282051"/>
      </dsp:txXfrm>
    </dsp:sp>
    <dsp:sp modelId="{32EB9B7B-AE78-440D-A149-27D660CBFB2C}">
      <dsp:nvSpPr>
        <dsp:cNvPr id="0" name=""/>
        <dsp:cNvSpPr/>
      </dsp:nvSpPr>
      <dsp:spPr>
        <a:xfrm rot="5400000">
          <a:off x="3166593" y="-2504942"/>
          <a:ext cx="611432" cy="5628380"/>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US" sz="900" kern="1200"/>
            <a:t>Stakeholders provided input to potential rulemaking to amend PUC Subst. Rule 25.181 and 25.182.</a:t>
          </a:r>
        </a:p>
        <a:p>
          <a:pPr marL="57150" lvl="1" indent="-57150" algn="l" defTabSz="400050">
            <a:lnSpc>
              <a:spcPct val="90000"/>
            </a:lnSpc>
            <a:spcBef>
              <a:spcPct val="0"/>
            </a:spcBef>
            <a:spcAft>
              <a:spcPct val="15000"/>
            </a:spcAft>
            <a:buChar char="•"/>
          </a:pPr>
          <a:r>
            <a:rPr lang="en-US" sz="900" kern="1200"/>
            <a:t>Oncor and the Sierra Club both presented generating discussion topics.</a:t>
          </a:r>
        </a:p>
      </dsp:txBody>
      <dsp:txXfrm rot="-5400000">
        <a:off x="658119" y="33380"/>
        <a:ext cx="5598532" cy="551736"/>
      </dsp:txXfrm>
    </dsp:sp>
    <dsp:sp modelId="{B6140FE9-7873-404E-8DA3-E0C12A42B90E}">
      <dsp:nvSpPr>
        <dsp:cNvPr id="0" name=""/>
        <dsp:cNvSpPr/>
      </dsp:nvSpPr>
      <dsp:spPr>
        <a:xfrm rot="5400000">
          <a:off x="-141025" y="938396"/>
          <a:ext cx="940170" cy="65811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b="1" kern="1200"/>
            <a:t>Nov.  2022 Stakeholder Survey</a:t>
          </a:r>
        </a:p>
      </dsp:txBody>
      <dsp:txXfrm rot="-5400000">
        <a:off x="1" y="1126431"/>
        <a:ext cx="658119" cy="282051"/>
      </dsp:txXfrm>
    </dsp:sp>
    <dsp:sp modelId="{3BEE6AAB-F494-40F4-8E7E-2E3140EA37F2}">
      <dsp:nvSpPr>
        <dsp:cNvPr id="0" name=""/>
        <dsp:cNvSpPr/>
      </dsp:nvSpPr>
      <dsp:spPr>
        <a:xfrm rot="5400000">
          <a:off x="3166754" y="-1711263"/>
          <a:ext cx="611111" cy="5628380"/>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US" sz="900" kern="1200"/>
            <a:t>PUCT tasked the EM&amp;V contractor to develop and implement a stakeholder survey building on the EEIP discussions.</a:t>
          </a:r>
          <a:endParaRPr lang="en-US" sz="700" b="1" kern="1200"/>
        </a:p>
        <a:p>
          <a:pPr marL="57150" lvl="1" indent="-57150" algn="l" defTabSz="400050">
            <a:lnSpc>
              <a:spcPct val="90000"/>
            </a:lnSpc>
            <a:spcBef>
              <a:spcPct val="0"/>
            </a:spcBef>
            <a:spcAft>
              <a:spcPct val="15000"/>
            </a:spcAft>
            <a:buChar char="•"/>
          </a:pPr>
          <a:r>
            <a:rPr lang="en-US" sz="900" kern="1200"/>
            <a:t>The survey obtained feedback from stakeholders and prioritized issues to inform working groups.</a:t>
          </a:r>
        </a:p>
        <a:p>
          <a:pPr marL="57150" lvl="1" indent="-57150" algn="l" defTabSz="400050">
            <a:lnSpc>
              <a:spcPct val="90000"/>
            </a:lnSpc>
            <a:spcBef>
              <a:spcPct val="0"/>
            </a:spcBef>
            <a:spcAft>
              <a:spcPct val="15000"/>
            </a:spcAft>
            <a:buChar char="•"/>
          </a:pPr>
          <a:r>
            <a:rPr lang="en-US" sz="900" kern="1200"/>
            <a:t>Based on survey results four working groups were recommended.</a:t>
          </a:r>
        </a:p>
      </dsp:txBody>
      <dsp:txXfrm rot="-5400000">
        <a:off x="658120" y="827203"/>
        <a:ext cx="5598548" cy="551447"/>
      </dsp:txXfrm>
    </dsp:sp>
    <dsp:sp modelId="{50BDF69C-87CC-4389-8BDB-384863B4B2B9}">
      <dsp:nvSpPr>
        <dsp:cNvPr id="0" name=""/>
        <dsp:cNvSpPr/>
      </dsp:nvSpPr>
      <dsp:spPr>
        <a:xfrm rot="5400000">
          <a:off x="-141025" y="1732235"/>
          <a:ext cx="940170" cy="65811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b="1" kern="1200"/>
            <a:t>Dec. - Jan. 2023 Project No. 38578</a:t>
          </a:r>
        </a:p>
      </dsp:txBody>
      <dsp:txXfrm rot="-5400000">
        <a:off x="1" y="1920270"/>
        <a:ext cx="658119" cy="282051"/>
      </dsp:txXfrm>
    </dsp:sp>
    <dsp:sp modelId="{4313E1EE-1856-4592-BE43-7B53507B4940}">
      <dsp:nvSpPr>
        <dsp:cNvPr id="0" name=""/>
        <dsp:cNvSpPr/>
      </dsp:nvSpPr>
      <dsp:spPr>
        <a:xfrm rot="5400000">
          <a:off x="3166754" y="-917424"/>
          <a:ext cx="611111" cy="5628380"/>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US" sz="900" kern="1200"/>
            <a:t>Survey analysis and working group recommendations were filed in Project No. 38578 on December 20, 2022.</a:t>
          </a:r>
        </a:p>
        <a:p>
          <a:pPr marL="57150" lvl="1" indent="-57150" algn="l" defTabSz="400050">
            <a:lnSpc>
              <a:spcPct val="90000"/>
            </a:lnSpc>
            <a:spcBef>
              <a:spcPct val="0"/>
            </a:spcBef>
            <a:spcAft>
              <a:spcPct val="15000"/>
            </a:spcAft>
            <a:buChar char="•"/>
          </a:pPr>
          <a:r>
            <a:rPr lang="en-US" sz="900" kern="1200"/>
            <a:t>Commission staff distributed an invitation to complete a working group interest form via EEIP listserv.</a:t>
          </a:r>
        </a:p>
        <a:p>
          <a:pPr marL="57150" lvl="1" indent="-57150" algn="l" defTabSz="400050">
            <a:lnSpc>
              <a:spcPct val="90000"/>
            </a:lnSpc>
            <a:spcBef>
              <a:spcPct val="0"/>
            </a:spcBef>
            <a:spcAft>
              <a:spcPct val="15000"/>
            </a:spcAft>
            <a:buChar char="•"/>
          </a:pPr>
          <a:r>
            <a:rPr lang="en-US" sz="900" kern="1200"/>
            <a:t>44 unique companies and organizations completed the survey representing the stakeholder groups.</a:t>
          </a:r>
        </a:p>
      </dsp:txBody>
      <dsp:txXfrm rot="-5400000">
        <a:off x="658120" y="1621042"/>
        <a:ext cx="5598548" cy="551447"/>
      </dsp:txXfrm>
    </dsp:sp>
    <dsp:sp modelId="{CF0DF499-3025-4C20-A699-48E23919FC67}">
      <dsp:nvSpPr>
        <dsp:cNvPr id="0" name=""/>
        <dsp:cNvSpPr/>
      </dsp:nvSpPr>
      <dsp:spPr>
        <a:xfrm rot="5400000">
          <a:off x="-141025" y="2639022"/>
          <a:ext cx="940170" cy="658119"/>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311150">
            <a:lnSpc>
              <a:spcPct val="90000"/>
            </a:lnSpc>
            <a:spcBef>
              <a:spcPct val="0"/>
            </a:spcBef>
            <a:spcAft>
              <a:spcPct val="35000"/>
            </a:spcAft>
            <a:buNone/>
          </a:pPr>
          <a:r>
            <a:rPr lang="en-US" sz="700" b="1" kern="1200"/>
            <a:t>Jan. - Mar. 2023 Working Groups</a:t>
          </a:r>
        </a:p>
      </dsp:txBody>
      <dsp:txXfrm rot="-5400000">
        <a:off x="1" y="2827057"/>
        <a:ext cx="658119" cy="282051"/>
      </dsp:txXfrm>
    </dsp:sp>
    <dsp:sp modelId="{59F3F04A-C0C4-4CD5-82C1-80B8F36D0C37}">
      <dsp:nvSpPr>
        <dsp:cNvPr id="0" name=""/>
        <dsp:cNvSpPr/>
      </dsp:nvSpPr>
      <dsp:spPr>
        <a:xfrm rot="5400000">
          <a:off x="3053805" y="-10637"/>
          <a:ext cx="837008" cy="5628380"/>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5715" rIns="5715" bIns="5715" numCol="1" spcCol="1270" anchor="ctr" anchorCtr="0">
          <a:noAutofit/>
        </a:bodyPr>
        <a:lstStyle/>
        <a:p>
          <a:pPr marL="57150" lvl="1" indent="-57150" algn="l" defTabSz="400050">
            <a:lnSpc>
              <a:spcPct val="90000"/>
            </a:lnSpc>
            <a:spcBef>
              <a:spcPct val="0"/>
            </a:spcBef>
            <a:spcAft>
              <a:spcPct val="15000"/>
            </a:spcAft>
            <a:buChar char="•"/>
          </a:pPr>
          <a:r>
            <a:rPr lang="en-US" sz="900" kern="1200"/>
            <a:t>Stakeholders assigned to participate in one working group; option of listening to all sessions live or via recordings.</a:t>
          </a:r>
        </a:p>
        <a:p>
          <a:pPr marL="57150" lvl="1" indent="-57150" algn="l" defTabSz="400050">
            <a:lnSpc>
              <a:spcPct val="90000"/>
            </a:lnSpc>
            <a:spcBef>
              <a:spcPct val="0"/>
            </a:spcBef>
            <a:spcAft>
              <a:spcPct val="15000"/>
            </a:spcAft>
            <a:buChar char="•"/>
          </a:pPr>
          <a:r>
            <a:rPr lang="en-US" sz="900" kern="1200"/>
            <a:t>Details from the workshop were carefully documented and summary recaps shared at the beginning of each subsequent session.</a:t>
          </a:r>
        </a:p>
        <a:p>
          <a:pPr marL="57150" lvl="1" indent="-57150" algn="l" defTabSz="400050">
            <a:lnSpc>
              <a:spcPct val="90000"/>
            </a:lnSpc>
            <a:spcBef>
              <a:spcPct val="0"/>
            </a:spcBef>
            <a:spcAft>
              <a:spcPct val="15000"/>
            </a:spcAft>
            <a:buChar char="•"/>
          </a:pPr>
          <a:r>
            <a:rPr lang="en-US" sz="900" kern="1200"/>
            <a:t>Topics were assigned a high - low priorty based on the legislative/rule change requirements.</a:t>
          </a:r>
        </a:p>
        <a:p>
          <a:pPr marL="57150" lvl="1" indent="-57150" algn="l" defTabSz="400050">
            <a:lnSpc>
              <a:spcPct val="90000"/>
            </a:lnSpc>
            <a:spcBef>
              <a:spcPct val="0"/>
            </a:spcBef>
            <a:spcAft>
              <a:spcPct val="15000"/>
            </a:spcAft>
            <a:buChar char="•"/>
          </a:pPr>
          <a:r>
            <a:rPr lang="en-US" sz="900" kern="1200"/>
            <a:t>Working Group progress update presented to EEIP March 28</a:t>
          </a:r>
        </a:p>
      </dsp:txBody>
      <dsp:txXfrm rot="-5400000">
        <a:off x="658120" y="2425908"/>
        <a:ext cx="5587521" cy="75529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A8511C9-FC54-4339-85AF-633E23D385D4}">
      <dsp:nvSpPr>
        <dsp:cNvPr id="0" name=""/>
        <dsp:cNvSpPr/>
      </dsp:nvSpPr>
      <dsp:spPr>
        <a:xfrm>
          <a:off x="1938" y="5144"/>
          <a:ext cx="1890266" cy="518400"/>
        </a:xfrm>
        <a:prstGeom prst="rect">
          <a:avLst/>
        </a:prstGeom>
        <a:solidFill>
          <a:srgbClr val="FFFF00"/>
        </a:solidFill>
        <a:ln w="25400" cap="flat" cmpd="sng" algn="ctr">
          <a:solidFill>
            <a:srgbClr val="FFFF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8016" tIns="73152" rIns="128016" bIns="73152" numCol="1" spcCol="1270" anchor="ctr" anchorCtr="0">
          <a:noAutofit/>
        </a:bodyPr>
        <a:lstStyle/>
        <a:p>
          <a:pPr marL="0" lvl="0" indent="0" algn="ctr" defTabSz="800100">
            <a:lnSpc>
              <a:spcPct val="90000"/>
            </a:lnSpc>
            <a:spcBef>
              <a:spcPct val="0"/>
            </a:spcBef>
            <a:spcAft>
              <a:spcPct val="35000"/>
            </a:spcAft>
            <a:buNone/>
          </a:pPr>
          <a:r>
            <a:rPr lang="en-US" sz="1800" kern="1200">
              <a:solidFill>
                <a:srgbClr val="002060"/>
              </a:solidFill>
            </a:rPr>
            <a:t>High</a:t>
          </a:r>
          <a:r>
            <a:rPr lang="en-US" sz="1800" kern="1200"/>
            <a:t> </a:t>
          </a:r>
          <a:r>
            <a:rPr lang="en-US" sz="1800" kern="1200">
              <a:solidFill>
                <a:srgbClr val="002060"/>
              </a:solidFill>
            </a:rPr>
            <a:t>Priority</a:t>
          </a:r>
        </a:p>
      </dsp:txBody>
      <dsp:txXfrm>
        <a:off x="1938" y="5144"/>
        <a:ext cx="1890266" cy="518400"/>
      </dsp:txXfrm>
    </dsp:sp>
    <dsp:sp modelId="{DCA0901C-95F6-4BC1-990F-12580A5256C6}">
      <dsp:nvSpPr>
        <dsp:cNvPr id="0" name=""/>
        <dsp:cNvSpPr/>
      </dsp:nvSpPr>
      <dsp:spPr>
        <a:xfrm>
          <a:off x="1938" y="523544"/>
          <a:ext cx="1890266" cy="2766960"/>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kern="1200"/>
            <a:t>Peak kW and kWh Goals</a:t>
          </a:r>
        </a:p>
        <a:p>
          <a:pPr marL="114300" lvl="1" indent="-114300" algn="l" defTabSz="533400">
            <a:lnSpc>
              <a:spcPct val="90000"/>
            </a:lnSpc>
            <a:spcBef>
              <a:spcPct val="0"/>
            </a:spcBef>
            <a:spcAft>
              <a:spcPct val="15000"/>
            </a:spcAft>
            <a:buChar char="•"/>
          </a:pPr>
          <a:r>
            <a:rPr lang="en-US" sz="1200" kern="1200"/>
            <a:t>Role of Demand Response</a:t>
          </a:r>
        </a:p>
        <a:p>
          <a:pPr marL="114300" lvl="1" indent="-114300" algn="l" defTabSz="533400">
            <a:lnSpc>
              <a:spcPct val="90000"/>
            </a:lnSpc>
            <a:spcBef>
              <a:spcPct val="0"/>
            </a:spcBef>
            <a:spcAft>
              <a:spcPct val="15000"/>
            </a:spcAft>
            <a:buChar char="•"/>
          </a:pPr>
          <a:r>
            <a:rPr lang="en-US" sz="1200" kern="1200"/>
            <a:t>Peak Period Definitions</a:t>
          </a:r>
        </a:p>
        <a:p>
          <a:pPr marL="114300" lvl="1" indent="-114300" algn="l" defTabSz="533400">
            <a:lnSpc>
              <a:spcPct val="90000"/>
            </a:lnSpc>
            <a:spcBef>
              <a:spcPct val="0"/>
            </a:spcBef>
            <a:spcAft>
              <a:spcPct val="15000"/>
            </a:spcAft>
            <a:buChar char="•"/>
          </a:pPr>
          <a:r>
            <a:rPr lang="en-US" sz="1200" kern="1200"/>
            <a:t>Low-income (LI) and Hard-to-reach (HTR) Definitions</a:t>
          </a:r>
        </a:p>
        <a:p>
          <a:pPr marL="114300" lvl="1" indent="-114300" algn="l" defTabSz="533400">
            <a:lnSpc>
              <a:spcPct val="90000"/>
            </a:lnSpc>
            <a:spcBef>
              <a:spcPct val="0"/>
            </a:spcBef>
            <a:spcAft>
              <a:spcPct val="15000"/>
            </a:spcAft>
            <a:buChar char="•"/>
          </a:pPr>
          <a:r>
            <a:rPr lang="en-US" sz="1200" kern="1200"/>
            <a:t>Avoided Cost of Energy and Capacity</a:t>
          </a:r>
        </a:p>
        <a:p>
          <a:pPr marL="114300" lvl="1" indent="-114300" algn="l" defTabSz="533400">
            <a:lnSpc>
              <a:spcPct val="90000"/>
            </a:lnSpc>
            <a:spcBef>
              <a:spcPct val="0"/>
            </a:spcBef>
            <a:spcAft>
              <a:spcPct val="15000"/>
            </a:spcAft>
            <a:buChar char="•"/>
          </a:pPr>
          <a:r>
            <a:rPr lang="en-US" sz="1200" kern="1200"/>
            <a:t>Cost-effectiveness Calculations</a:t>
          </a:r>
        </a:p>
        <a:p>
          <a:pPr marL="114300" lvl="1" indent="-114300" algn="l" defTabSz="533400">
            <a:lnSpc>
              <a:spcPct val="90000"/>
            </a:lnSpc>
            <a:spcBef>
              <a:spcPct val="0"/>
            </a:spcBef>
            <a:spcAft>
              <a:spcPct val="15000"/>
            </a:spcAft>
            <a:buChar char="•"/>
          </a:pPr>
          <a:r>
            <a:rPr lang="en-US" sz="1200" kern="1200"/>
            <a:t>Customer Cost Caps</a:t>
          </a:r>
        </a:p>
        <a:p>
          <a:pPr marL="114300" lvl="1" indent="-114300" algn="l" defTabSz="533400">
            <a:lnSpc>
              <a:spcPct val="90000"/>
            </a:lnSpc>
            <a:spcBef>
              <a:spcPct val="0"/>
            </a:spcBef>
            <a:spcAft>
              <a:spcPct val="15000"/>
            </a:spcAft>
            <a:buChar char="•"/>
          </a:pPr>
          <a:r>
            <a:rPr lang="en-US" sz="1200" kern="1200"/>
            <a:t>Planning Cycle</a:t>
          </a:r>
        </a:p>
        <a:p>
          <a:pPr marL="114300" lvl="1" indent="-114300" algn="l" defTabSz="533400">
            <a:lnSpc>
              <a:spcPct val="90000"/>
            </a:lnSpc>
            <a:spcBef>
              <a:spcPct val="0"/>
            </a:spcBef>
            <a:spcAft>
              <a:spcPct val="15000"/>
            </a:spcAft>
            <a:buChar char="•"/>
          </a:pPr>
          <a:r>
            <a:rPr lang="en-US" sz="1200" kern="1200"/>
            <a:t>Performance Bonus Calculations </a:t>
          </a:r>
        </a:p>
      </dsp:txBody>
      <dsp:txXfrm>
        <a:off x="1938" y="523544"/>
        <a:ext cx="1890266" cy="2766960"/>
      </dsp:txXfrm>
    </dsp:sp>
    <dsp:sp modelId="{431C092A-2D2A-4FDE-9299-7D17D963DB19}">
      <dsp:nvSpPr>
        <dsp:cNvPr id="0" name=""/>
        <dsp:cNvSpPr/>
      </dsp:nvSpPr>
      <dsp:spPr>
        <a:xfrm>
          <a:off x="2156841" y="5144"/>
          <a:ext cx="1890266" cy="518400"/>
        </a:xfrm>
        <a:prstGeom prst="rect">
          <a:avLst/>
        </a:prstGeom>
        <a:solidFill>
          <a:schemeClr val="accent6"/>
        </a:solidFill>
        <a:ln w="25400" cap="flat" cmpd="sng" algn="ctr">
          <a:solidFill>
            <a:schemeClr val="accent6"/>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8016" tIns="73152" rIns="128016" bIns="73152" numCol="1" spcCol="1270" anchor="ctr" anchorCtr="0">
          <a:noAutofit/>
        </a:bodyPr>
        <a:lstStyle/>
        <a:p>
          <a:pPr marL="0" lvl="0" indent="0" algn="ctr" defTabSz="800100">
            <a:lnSpc>
              <a:spcPct val="90000"/>
            </a:lnSpc>
            <a:spcBef>
              <a:spcPct val="0"/>
            </a:spcBef>
            <a:spcAft>
              <a:spcPct val="35000"/>
            </a:spcAft>
            <a:buNone/>
          </a:pPr>
          <a:r>
            <a:rPr lang="en-US" sz="1800" kern="1200"/>
            <a:t>Medium Priority</a:t>
          </a:r>
        </a:p>
      </dsp:txBody>
      <dsp:txXfrm>
        <a:off x="2156841" y="5144"/>
        <a:ext cx="1890266" cy="518400"/>
      </dsp:txXfrm>
    </dsp:sp>
    <dsp:sp modelId="{6ABCB92F-6B8C-4BE4-9D96-95AE3CD2E5CB}">
      <dsp:nvSpPr>
        <dsp:cNvPr id="0" name=""/>
        <dsp:cNvSpPr/>
      </dsp:nvSpPr>
      <dsp:spPr>
        <a:xfrm>
          <a:off x="2156841" y="523544"/>
          <a:ext cx="1890266" cy="2766960"/>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kern="1200"/>
            <a:t>LI and HTR Goals</a:t>
          </a:r>
        </a:p>
        <a:p>
          <a:pPr marL="114300" lvl="1" indent="-114300" algn="l" defTabSz="533400">
            <a:lnSpc>
              <a:spcPct val="90000"/>
            </a:lnSpc>
            <a:spcBef>
              <a:spcPct val="0"/>
            </a:spcBef>
            <a:spcAft>
              <a:spcPct val="15000"/>
            </a:spcAft>
            <a:buChar char="•"/>
          </a:pPr>
          <a:r>
            <a:rPr lang="en-US" sz="1200" kern="1200"/>
            <a:t>Geotargeting</a:t>
          </a:r>
        </a:p>
        <a:p>
          <a:pPr marL="114300" lvl="1" indent="-114300" algn="l" defTabSz="533400">
            <a:lnSpc>
              <a:spcPct val="90000"/>
            </a:lnSpc>
            <a:spcBef>
              <a:spcPct val="0"/>
            </a:spcBef>
            <a:spcAft>
              <a:spcPct val="15000"/>
            </a:spcAft>
            <a:buChar char="•"/>
          </a:pPr>
          <a:r>
            <a:rPr lang="en-US" sz="1200" kern="1200"/>
            <a:t>Identification of Underserved Segements</a:t>
          </a:r>
        </a:p>
        <a:p>
          <a:pPr marL="114300" lvl="1" indent="-114300" algn="l" defTabSz="533400">
            <a:lnSpc>
              <a:spcPct val="90000"/>
            </a:lnSpc>
            <a:spcBef>
              <a:spcPct val="0"/>
            </a:spcBef>
            <a:spcAft>
              <a:spcPct val="15000"/>
            </a:spcAft>
            <a:buChar char="•"/>
          </a:pPr>
          <a:r>
            <a:rPr lang="en-US" sz="1200" kern="1200"/>
            <a:t>Use of DR in EE Portfolio</a:t>
          </a:r>
        </a:p>
        <a:p>
          <a:pPr marL="114300" lvl="1" indent="-114300" algn="l" defTabSz="533400">
            <a:lnSpc>
              <a:spcPct val="90000"/>
            </a:lnSpc>
            <a:spcBef>
              <a:spcPct val="0"/>
            </a:spcBef>
            <a:spcAft>
              <a:spcPct val="15000"/>
            </a:spcAft>
            <a:buChar char="•"/>
          </a:pPr>
          <a:r>
            <a:rPr lang="en-US" sz="1200" kern="1200"/>
            <a:t>Program Design</a:t>
          </a:r>
        </a:p>
        <a:p>
          <a:pPr marL="114300" lvl="1" indent="-114300" algn="l" defTabSz="533400">
            <a:lnSpc>
              <a:spcPct val="90000"/>
            </a:lnSpc>
            <a:spcBef>
              <a:spcPct val="0"/>
            </a:spcBef>
            <a:spcAft>
              <a:spcPct val="15000"/>
            </a:spcAft>
            <a:buChar char="•"/>
          </a:pPr>
          <a:r>
            <a:rPr lang="en-US" sz="1200" kern="1200"/>
            <a:t>Calculation of Goals</a:t>
          </a:r>
        </a:p>
        <a:p>
          <a:pPr marL="114300" lvl="1" indent="-114300" algn="l" defTabSz="533400">
            <a:lnSpc>
              <a:spcPct val="90000"/>
            </a:lnSpc>
            <a:spcBef>
              <a:spcPct val="0"/>
            </a:spcBef>
            <a:spcAft>
              <a:spcPct val="15000"/>
            </a:spcAft>
            <a:buChar char="•"/>
          </a:pPr>
          <a:r>
            <a:rPr lang="en-US" sz="1200" kern="1200"/>
            <a:t>Performance Bonus Best Practices</a:t>
          </a:r>
        </a:p>
        <a:p>
          <a:pPr marL="114300" lvl="1" indent="-114300" algn="l" defTabSz="533400">
            <a:lnSpc>
              <a:spcPct val="90000"/>
            </a:lnSpc>
            <a:spcBef>
              <a:spcPct val="0"/>
            </a:spcBef>
            <a:spcAft>
              <a:spcPct val="15000"/>
            </a:spcAft>
            <a:buChar char="•"/>
          </a:pPr>
          <a:r>
            <a:rPr lang="en-US" sz="1200" kern="1200"/>
            <a:t>Marketing outside of administrative costs</a:t>
          </a:r>
        </a:p>
      </dsp:txBody>
      <dsp:txXfrm>
        <a:off x="2156841" y="523544"/>
        <a:ext cx="1890266" cy="2766960"/>
      </dsp:txXfrm>
    </dsp:sp>
    <dsp:sp modelId="{B9BE550D-7C69-406A-82D8-2CFE9B732735}">
      <dsp:nvSpPr>
        <dsp:cNvPr id="0" name=""/>
        <dsp:cNvSpPr/>
      </dsp:nvSpPr>
      <dsp:spPr>
        <a:xfrm>
          <a:off x="4311745" y="5144"/>
          <a:ext cx="1890266" cy="518400"/>
        </a:xfrm>
        <a:prstGeom prst="rect">
          <a:avLst/>
        </a:prstGeom>
        <a:solidFill>
          <a:schemeClr val="tx2"/>
        </a:solidFill>
        <a:ln w="25400" cap="flat" cmpd="sng" algn="ctr">
          <a:solidFill>
            <a:schemeClr val="tx2"/>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8016" tIns="73152" rIns="128016" bIns="73152" numCol="1" spcCol="1270" anchor="ctr" anchorCtr="0">
          <a:noAutofit/>
        </a:bodyPr>
        <a:lstStyle/>
        <a:p>
          <a:pPr marL="0" lvl="0" indent="0" algn="ctr" defTabSz="800100">
            <a:lnSpc>
              <a:spcPct val="90000"/>
            </a:lnSpc>
            <a:spcBef>
              <a:spcPct val="0"/>
            </a:spcBef>
            <a:spcAft>
              <a:spcPct val="35000"/>
            </a:spcAft>
            <a:buNone/>
          </a:pPr>
          <a:r>
            <a:rPr lang="en-US" sz="1800" kern="1200"/>
            <a:t>Low Priority</a:t>
          </a:r>
        </a:p>
      </dsp:txBody>
      <dsp:txXfrm>
        <a:off x="4311745" y="5144"/>
        <a:ext cx="1890266" cy="518400"/>
      </dsp:txXfrm>
    </dsp:sp>
    <dsp:sp modelId="{19E8825B-EFF7-47DD-AE45-E28043AB15A3}">
      <dsp:nvSpPr>
        <dsp:cNvPr id="0" name=""/>
        <dsp:cNvSpPr/>
      </dsp:nvSpPr>
      <dsp:spPr>
        <a:xfrm>
          <a:off x="4311745" y="523544"/>
          <a:ext cx="1890266" cy="2766960"/>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4008" tIns="64008" rIns="85344" bIns="96012" numCol="1" spcCol="1270" anchor="t" anchorCtr="0">
          <a:noAutofit/>
        </a:bodyPr>
        <a:lstStyle/>
        <a:p>
          <a:pPr marL="114300" lvl="1" indent="-114300" algn="l" defTabSz="533400">
            <a:lnSpc>
              <a:spcPct val="90000"/>
            </a:lnSpc>
            <a:spcBef>
              <a:spcPct val="0"/>
            </a:spcBef>
            <a:spcAft>
              <a:spcPct val="15000"/>
            </a:spcAft>
            <a:buChar char="•"/>
          </a:pPr>
          <a:r>
            <a:rPr lang="en-US" sz="1200" kern="1200"/>
            <a:t>Stakeholder Engagement</a:t>
          </a:r>
        </a:p>
        <a:p>
          <a:pPr marL="114300" lvl="1" indent="-114300" algn="l" defTabSz="533400">
            <a:lnSpc>
              <a:spcPct val="90000"/>
            </a:lnSpc>
            <a:spcBef>
              <a:spcPct val="0"/>
            </a:spcBef>
            <a:spcAft>
              <a:spcPct val="15000"/>
            </a:spcAft>
            <a:buChar char="•"/>
          </a:pPr>
          <a:r>
            <a:rPr lang="en-US" sz="1200" kern="1200"/>
            <a:t>EM&amp;V and TRM Cycles</a:t>
          </a:r>
        </a:p>
        <a:p>
          <a:pPr marL="114300" lvl="1" indent="-114300" algn="l" defTabSz="533400">
            <a:lnSpc>
              <a:spcPct val="90000"/>
            </a:lnSpc>
            <a:spcBef>
              <a:spcPct val="0"/>
            </a:spcBef>
            <a:spcAft>
              <a:spcPct val="15000"/>
            </a:spcAft>
            <a:buChar char="•"/>
          </a:pPr>
          <a:r>
            <a:rPr lang="en-US" sz="1200" kern="1200"/>
            <a:t>Relative importance of Peak kW and kWh</a:t>
          </a:r>
        </a:p>
        <a:p>
          <a:pPr marL="114300" lvl="1" indent="-114300" algn="l" defTabSz="533400">
            <a:lnSpc>
              <a:spcPct val="90000"/>
            </a:lnSpc>
            <a:spcBef>
              <a:spcPct val="0"/>
            </a:spcBef>
            <a:spcAft>
              <a:spcPct val="15000"/>
            </a:spcAft>
            <a:buChar char="•"/>
          </a:pPr>
          <a:r>
            <a:rPr lang="en-US" sz="1200" kern="1200"/>
            <a:t>Program Design</a:t>
          </a:r>
        </a:p>
        <a:p>
          <a:pPr marL="114300" lvl="1" indent="-114300" algn="l" defTabSz="533400">
            <a:lnSpc>
              <a:spcPct val="90000"/>
            </a:lnSpc>
            <a:spcBef>
              <a:spcPct val="0"/>
            </a:spcBef>
            <a:spcAft>
              <a:spcPct val="15000"/>
            </a:spcAft>
            <a:buChar char="•"/>
          </a:pPr>
          <a:r>
            <a:rPr lang="en-US" sz="1200" kern="1200"/>
            <a:t>Collabortion with Other Funding Sources and Market Actors</a:t>
          </a:r>
        </a:p>
        <a:p>
          <a:pPr marL="114300" lvl="1" indent="-114300" algn="l" defTabSz="533400">
            <a:lnSpc>
              <a:spcPct val="90000"/>
            </a:lnSpc>
            <a:spcBef>
              <a:spcPct val="0"/>
            </a:spcBef>
            <a:spcAft>
              <a:spcPct val="15000"/>
            </a:spcAft>
            <a:buChar char="•"/>
          </a:pPr>
          <a:r>
            <a:rPr lang="en-US" sz="1200" kern="1200"/>
            <a:t>Transparent reporting of key metrics</a:t>
          </a:r>
        </a:p>
        <a:p>
          <a:pPr marL="114300" lvl="1" indent="-114300" algn="l" defTabSz="533400">
            <a:lnSpc>
              <a:spcPct val="90000"/>
            </a:lnSpc>
            <a:spcBef>
              <a:spcPct val="0"/>
            </a:spcBef>
            <a:spcAft>
              <a:spcPct val="15000"/>
            </a:spcAft>
            <a:buChar char="•"/>
          </a:pPr>
          <a:r>
            <a:rPr lang="en-US" sz="1200" kern="1200"/>
            <a:t>Savings to investment ratio (SIR) retail energy used for LI programs</a:t>
          </a:r>
        </a:p>
      </dsp:txBody>
      <dsp:txXfrm>
        <a:off x="4311745" y="523544"/>
        <a:ext cx="1890266" cy="2766960"/>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10BAC61E6331449B2A267E41DD82E6" ma:contentTypeVersion="3" ma:contentTypeDescription="Create a new document." ma:contentTypeScope="" ma:versionID="f2cecab53a89fcd82c27e04c9b8b8146">
  <xsd:schema xmlns:xsd="http://www.w3.org/2001/XMLSchema" xmlns:xs="http://www.w3.org/2001/XMLSchema" xmlns:p="http://schemas.microsoft.com/office/2006/metadata/properties" xmlns:ns2="b6fbeefe-375d-4748-bacd-052854ca3dbb" targetNamespace="http://schemas.microsoft.com/office/2006/metadata/properties" ma:root="true" ma:fieldsID="75ce9af2c2e4815e6a00e99fbb11a6ee" ns2:_="">
    <xsd:import namespace="b6fbeefe-375d-4748-bacd-052854ca3d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fbeefe-375d-4748-bacd-052854ca3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22C916-12A0-49B8-B09A-4EB905B75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fbeefe-375d-4748-bacd-052854ca3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7B2CEE-43E4-4B15-A8B4-65F34C8B78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61D084-BC9C-4A8F-BB13-20B958D94426}">
  <ds:schemaRefs>
    <ds:schemaRef ds:uri="http://schemas.openxmlformats.org/officeDocument/2006/bibliography"/>
  </ds:schemaRefs>
</ds:datastoreItem>
</file>

<file path=customXml/itemProps4.xml><?xml version="1.0" encoding="utf-8"?>
<ds:datastoreItem xmlns:ds="http://schemas.openxmlformats.org/officeDocument/2006/customXml" ds:itemID="{EA91DDBC-2D19-4346-B5C3-94B247E88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16038</Words>
  <Characters>91423</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Date:</vt:lpstr>
    </vt:vector>
  </TitlesOfParts>
  <Company>Tetra Tech Executive Services</Company>
  <LinksUpToDate>false</LinksUpToDate>
  <CharactersWithSpaces>107247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White, Anna</dc:creator>
  <cp:lastModifiedBy>Lee, Lark</cp:lastModifiedBy>
  <cp:revision>11</cp:revision>
  <cp:lastPrinted>2019-06-26T15:36:00Z</cp:lastPrinted>
  <dcterms:created xsi:type="dcterms:W3CDTF">2023-03-27T01:37:00Z</dcterms:created>
  <dcterms:modified xsi:type="dcterms:W3CDTF">2023-03-27T16:55:00Z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0x0101000810BAC61E6331449B2A267E41DD82E6</vt:lpwstr>
  </property>
  <property fmtid="{D5CDD505-2E9C-101B-9397-08002B2CF9AE}" pid="3" name="GrammarlyDocumentId">
    <vt:lpwstr>d46e4854a264ee69ffcb463e8ef774b39c2b0c1c72d06f4a9eaf6b6bd7a6693f</vt:lpwstr>
  </property>
</Properties>
</file>